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8" w:rsidRPr="0044680A" w:rsidRDefault="00CF6D58" w:rsidP="00E00956">
      <w:pPr>
        <w:spacing w:after="120" w:line="276" w:lineRule="auto"/>
        <w:ind w:firstLine="1298"/>
        <w:jc w:val="both"/>
        <w:rPr>
          <w:b/>
          <w:color w:val="000000"/>
          <w:lang w:val="lt-LT" w:eastAsia="lt-LT"/>
        </w:rPr>
      </w:pPr>
      <w:r w:rsidRPr="0044680A">
        <w:rPr>
          <w:b/>
          <w:color w:val="000000"/>
          <w:lang w:val="lt-LT" w:eastAsia="lt-LT"/>
        </w:rPr>
        <w:t>Dienos socialinės globos namuose 20</w:t>
      </w:r>
      <w:r w:rsidR="002065E7" w:rsidRPr="0044680A">
        <w:rPr>
          <w:b/>
          <w:color w:val="000000"/>
          <w:lang w:val="lt-LT" w:eastAsia="lt-LT"/>
        </w:rPr>
        <w:t>21</w:t>
      </w:r>
      <w:r w:rsidRPr="0044680A">
        <w:rPr>
          <w:b/>
          <w:color w:val="000000"/>
          <w:lang w:val="lt-LT" w:eastAsia="lt-LT"/>
        </w:rPr>
        <w:t xml:space="preserve"> m. paslaugų kokybės vertinimas </w:t>
      </w:r>
    </w:p>
    <w:p w:rsidR="002065E7" w:rsidRPr="0044680A" w:rsidRDefault="002065E7" w:rsidP="00CC23B1">
      <w:pPr>
        <w:spacing w:line="276" w:lineRule="auto"/>
        <w:ind w:firstLine="992"/>
        <w:jc w:val="both"/>
        <w:rPr>
          <w:lang w:val="lt-LT"/>
        </w:rPr>
      </w:pPr>
      <w:r w:rsidRPr="0044680A">
        <w:rPr>
          <w:lang w:val="lt-LT"/>
        </w:rPr>
        <w:t>2021 m.</w:t>
      </w:r>
      <w:r w:rsidRPr="0044680A">
        <w:rPr>
          <w:color w:val="000000"/>
          <w:lang w:val="lt-LT" w:eastAsia="lt-LT"/>
        </w:rPr>
        <w:t xml:space="preserve"> </w:t>
      </w:r>
      <w:r w:rsidR="00CD0A9E">
        <w:rPr>
          <w:color w:val="000000"/>
          <w:lang w:val="lt-LT" w:eastAsia="lt-LT"/>
        </w:rPr>
        <w:t xml:space="preserve">gruodžio mėn. </w:t>
      </w:r>
      <w:r w:rsidRPr="0044680A">
        <w:rPr>
          <w:color w:val="000000"/>
          <w:lang w:val="lt-LT" w:eastAsia="lt-LT"/>
        </w:rPr>
        <w:t xml:space="preserve">buvo atliktas Dienos socialinės globos namuose teikiamų paslaugų kokybės vertinimas – anoniminė apklausa. </w:t>
      </w:r>
      <w:r w:rsidR="00CC23B1" w:rsidRPr="0044680A">
        <w:rPr>
          <w:lang w:val="lt-LT"/>
        </w:rPr>
        <w:t>Anketą sudarė 5 klausimai su galimais pasirinktinais atsakymo variantais ir galimybė nurodyti papildomas pastabas. Anketinės apklausos rezultatai buvo skaičiuojami procentinėmis reikšmėmis.</w:t>
      </w:r>
      <w:r w:rsidR="00CC23B1">
        <w:rPr>
          <w:lang w:val="lt-LT"/>
        </w:rPr>
        <w:t xml:space="preserve"> </w:t>
      </w:r>
      <w:r w:rsidR="00393451">
        <w:rPr>
          <w:color w:val="000000"/>
          <w:lang w:val="lt-LT" w:eastAsia="lt-LT"/>
        </w:rPr>
        <w:t>Respondentai – 67 paslaugų gavėjai, kuriems</w:t>
      </w:r>
      <w:r w:rsidR="00CC23B1">
        <w:rPr>
          <w:color w:val="000000"/>
          <w:lang w:val="lt-LT" w:eastAsia="lt-LT"/>
        </w:rPr>
        <w:t xml:space="preserve">                                      </w:t>
      </w:r>
      <w:r w:rsidR="00393451">
        <w:rPr>
          <w:color w:val="000000"/>
          <w:lang w:val="lt-LT" w:eastAsia="lt-LT"/>
        </w:rPr>
        <w:t xml:space="preserve">š. m. lapkričio mėn. buvo </w:t>
      </w:r>
      <w:r w:rsidR="004E5BDE">
        <w:rPr>
          <w:color w:val="000000"/>
          <w:lang w:val="lt-LT" w:eastAsia="lt-LT"/>
        </w:rPr>
        <w:t>teikiamos</w:t>
      </w:r>
      <w:r w:rsidR="00393451">
        <w:rPr>
          <w:color w:val="000000"/>
          <w:lang w:val="lt-LT" w:eastAsia="lt-LT"/>
        </w:rPr>
        <w:t xml:space="preserve"> dienos socialinės globos asmens namuose paslaugos.</w:t>
      </w:r>
      <w:r w:rsidR="00E00956">
        <w:rPr>
          <w:color w:val="000000"/>
          <w:lang w:val="lt-LT" w:eastAsia="lt-LT"/>
        </w:rPr>
        <w:t xml:space="preserve"> </w:t>
      </w:r>
      <w:r w:rsidR="004E5BDE">
        <w:rPr>
          <w:szCs w:val="23"/>
          <w:lang w:val="lt-LT" w:eastAsia="lt-LT"/>
        </w:rPr>
        <w:t>Pateiktas anketas grąžino ir a</w:t>
      </w:r>
      <w:r w:rsidRPr="0044680A">
        <w:rPr>
          <w:szCs w:val="23"/>
          <w:lang w:val="lt-LT" w:eastAsia="lt-LT"/>
        </w:rPr>
        <w:t xml:space="preserve">pklausoje dalyvavo – </w:t>
      </w:r>
      <w:r w:rsidR="00374824">
        <w:rPr>
          <w:szCs w:val="23"/>
          <w:lang w:val="lt-LT" w:eastAsia="lt-LT"/>
        </w:rPr>
        <w:t>46</w:t>
      </w:r>
      <w:r w:rsidRPr="0044680A">
        <w:rPr>
          <w:szCs w:val="23"/>
          <w:lang w:val="lt-LT" w:eastAsia="lt-LT"/>
        </w:rPr>
        <w:t>, ne trumpiau kaip 1 mėnesį, Dienos socialinės globos namuose paslaugas gaunantys asmenys</w:t>
      </w:r>
      <w:r w:rsidRPr="0044680A">
        <w:rPr>
          <w:lang w:val="lt-LT"/>
        </w:rPr>
        <w:t>, iš kurių:</w:t>
      </w:r>
    </w:p>
    <w:p w:rsidR="002065E7" w:rsidRPr="0044680A" w:rsidRDefault="00374824" w:rsidP="00385687">
      <w:pPr>
        <w:pStyle w:val="ListParagraph"/>
        <w:numPr>
          <w:ilvl w:val="0"/>
          <w:numId w:val="15"/>
        </w:numPr>
        <w:spacing w:line="276" w:lineRule="auto"/>
        <w:ind w:left="1276" w:hanging="283"/>
        <w:jc w:val="both"/>
        <w:rPr>
          <w:lang w:val="lt-LT"/>
        </w:rPr>
      </w:pPr>
      <w:r>
        <w:rPr>
          <w:lang w:val="lt-LT"/>
        </w:rPr>
        <w:t>13</w:t>
      </w:r>
      <w:r w:rsidR="007D7A87" w:rsidRPr="0044680A">
        <w:rPr>
          <w:lang w:val="lt-LT"/>
        </w:rPr>
        <w:t xml:space="preserve"> asmenų</w:t>
      </w:r>
      <w:r w:rsidR="002065E7" w:rsidRPr="0044680A">
        <w:rPr>
          <w:lang w:val="lt-LT"/>
        </w:rPr>
        <w:t>, gaunantys dienos socialinės globos asmens namuose paslaugas;</w:t>
      </w:r>
    </w:p>
    <w:p w:rsidR="002065E7" w:rsidRPr="0044680A" w:rsidRDefault="00374824" w:rsidP="00385687">
      <w:pPr>
        <w:pStyle w:val="ListParagraph"/>
        <w:numPr>
          <w:ilvl w:val="0"/>
          <w:numId w:val="15"/>
        </w:numPr>
        <w:spacing w:line="276" w:lineRule="auto"/>
        <w:ind w:left="1276" w:hanging="283"/>
        <w:jc w:val="both"/>
        <w:rPr>
          <w:lang w:val="lt-LT"/>
        </w:rPr>
      </w:pPr>
      <w:r>
        <w:rPr>
          <w:lang w:val="lt-LT"/>
        </w:rPr>
        <w:t>28</w:t>
      </w:r>
      <w:r w:rsidR="007D7A87" w:rsidRPr="0044680A">
        <w:rPr>
          <w:lang w:val="lt-LT"/>
        </w:rPr>
        <w:t xml:space="preserve"> paslaugų gavėjo šeimos nariai/ globėjai;</w:t>
      </w:r>
    </w:p>
    <w:p w:rsidR="0033162A" w:rsidRPr="0033162A" w:rsidRDefault="007D7A87" w:rsidP="0033162A">
      <w:pPr>
        <w:pStyle w:val="ListParagraph"/>
        <w:numPr>
          <w:ilvl w:val="0"/>
          <w:numId w:val="15"/>
        </w:numPr>
        <w:spacing w:line="276" w:lineRule="auto"/>
        <w:ind w:left="0" w:firstLine="993"/>
        <w:jc w:val="both"/>
        <w:rPr>
          <w:lang w:val="lt-LT"/>
        </w:rPr>
      </w:pPr>
      <w:r w:rsidRPr="0044680A">
        <w:rPr>
          <w:lang w:val="lt-LT"/>
        </w:rPr>
        <w:t>5 asmenys neatsakė, kas pildė aninimine apklausą (4 – nieko nepažymėjo,                              1 – pažymėjo abu, apklausos anketą pildė še</w:t>
      </w:r>
      <w:r w:rsidR="00FB0D52">
        <w:rPr>
          <w:lang w:val="lt-LT"/>
        </w:rPr>
        <w:t>imos narys ir paslaugų gavėjas) (žr. Pav. 1).</w:t>
      </w:r>
    </w:p>
    <w:p w:rsidR="0033162A" w:rsidRDefault="0033162A" w:rsidP="0033162A">
      <w:pPr>
        <w:pStyle w:val="Caption"/>
        <w:spacing w:after="60"/>
        <w:ind w:left="567" w:firstLine="425"/>
        <w:jc w:val="center"/>
        <w:rPr>
          <w:i/>
          <w:sz w:val="24"/>
          <w:lang w:val="lt-LT"/>
        </w:rPr>
      </w:pPr>
      <w:r w:rsidRPr="0044680A">
        <w:rPr>
          <w:noProof/>
          <w:lang w:val="lt-LT" w:eastAsia="lt-LT"/>
        </w:rPr>
        <w:drawing>
          <wp:inline distT="0" distB="0" distL="0" distR="0" wp14:anchorId="367CF5F4" wp14:editId="72F4596B">
            <wp:extent cx="4945075" cy="1887321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7A87" w:rsidRPr="00FB0D52" w:rsidRDefault="0044680A" w:rsidP="0033162A">
      <w:pPr>
        <w:pStyle w:val="Caption"/>
        <w:spacing w:after="60"/>
        <w:ind w:left="567" w:firstLine="425"/>
        <w:jc w:val="right"/>
        <w:rPr>
          <w:b w:val="0"/>
          <w:i/>
          <w:color w:val="auto"/>
          <w:sz w:val="24"/>
          <w:lang w:val="lt-LT"/>
        </w:rPr>
      </w:pPr>
      <w:r w:rsidRPr="0044680A">
        <w:rPr>
          <w:i/>
          <w:sz w:val="24"/>
          <w:lang w:val="lt-LT"/>
        </w:rPr>
        <w:t xml:space="preserve">Pav. </w:t>
      </w:r>
      <w:r w:rsidRPr="0044680A">
        <w:rPr>
          <w:i/>
          <w:sz w:val="24"/>
          <w:lang w:val="lt-LT"/>
        </w:rPr>
        <w:fldChar w:fldCharType="begin"/>
      </w:r>
      <w:r w:rsidRPr="0044680A">
        <w:rPr>
          <w:i/>
          <w:sz w:val="24"/>
          <w:lang w:val="lt-LT"/>
        </w:rPr>
        <w:instrText xml:space="preserve"> SEQ Pav. \* ARABIC </w:instrText>
      </w:r>
      <w:r w:rsidRPr="0044680A">
        <w:rPr>
          <w:i/>
          <w:sz w:val="24"/>
          <w:lang w:val="lt-LT"/>
        </w:rPr>
        <w:fldChar w:fldCharType="separate"/>
      </w:r>
      <w:r w:rsidR="006C1E8E">
        <w:rPr>
          <w:i/>
          <w:noProof/>
          <w:sz w:val="24"/>
          <w:lang w:val="lt-LT"/>
        </w:rPr>
        <w:t>1</w:t>
      </w:r>
      <w:r w:rsidRPr="0044680A">
        <w:rPr>
          <w:i/>
          <w:sz w:val="24"/>
          <w:lang w:val="lt-LT"/>
        </w:rPr>
        <w:fldChar w:fldCharType="end"/>
      </w:r>
      <w:r w:rsidRPr="0044680A">
        <w:rPr>
          <w:i/>
          <w:sz w:val="24"/>
          <w:lang w:val="lt-LT"/>
        </w:rPr>
        <w:t xml:space="preserve"> </w:t>
      </w:r>
      <w:r w:rsidRPr="00FB0D52">
        <w:rPr>
          <w:b w:val="0"/>
          <w:i/>
          <w:color w:val="auto"/>
          <w:sz w:val="24"/>
          <w:lang w:val="lt-LT"/>
        </w:rPr>
        <w:t>Dalyvių procentinis pasiskirtymas</w:t>
      </w:r>
    </w:p>
    <w:p w:rsidR="00385687" w:rsidRPr="0097026C" w:rsidRDefault="00960646" w:rsidP="0097026C">
      <w:pPr>
        <w:spacing w:after="40" w:line="276" w:lineRule="auto"/>
        <w:ind w:firstLine="992"/>
        <w:jc w:val="both"/>
        <w:rPr>
          <w:lang w:val="lt-LT" w:eastAsia="lt-LT"/>
        </w:rPr>
      </w:pPr>
      <w:r w:rsidRPr="0044680A">
        <w:rPr>
          <w:color w:val="000000"/>
          <w:lang w:val="lt-LT" w:eastAsia="lt-LT"/>
        </w:rPr>
        <w:t>Pirm</w:t>
      </w:r>
      <w:r w:rsidR="00CC23B1">
        <w:rPr>
          <w:color w:val="000000"/>
          <w:lang w:val="lt-LT" w:eastAsia="lt-LT"/>
        </w:rPr>
        <w:t xml:space="preserve">iausiai </w:t>
      </w:r>
      <w:r w:rsidR="00487A88">
        <w:rPr>
          <w:color w:val="000000"/>
          <w:lang w:val="lt-LT" w:eastAsia="lt-LT"/>
        </w:rPr>
        <w:t>k</w:t>
      </w:r>
      <w:r w:rsidRPr="0044680A">
        <w:rPr>
          <w:color w:val="000000"/>
          <w:lang w:val="lt-LT" w:eastAsia="lt-LT"/>
        </w:rPr>
        <w:t xml:space="preserve">okybė vertinta atsižvelgiant į paslaugų gavėjų, šeimos narių/globėjų požiūrį į teikiamos </w:t>
      </w:r>
      <w:r w:rsidR="00487A88">
        <w:rPr>
          <w:color w:val="000000"/>
          <w:lang w:val="lt-LT" w:eastAsia="lt-LT"/>
        </w:rPr>
        <w:t xml:space="preserve">dienos socialinės globos asmens namuose </w:t>
      </w:r>
      <w:r w:rsidRPr="0044680A">
        <w:rPr>
          <w:color w:val="000000"/>
          <w:lang w:val="lt-LT" w:eastAsia="lt-LT"/>
        </w:rPr>
        <w:t xml:space="preserve">paslaugos sudėtį. </w:t>
      </w:r>
      <w:r w:rsidR="00812F00" w:rsidRPr="0044680A">
        <w:rPr>
          <w:color w:val="000000"/>
          <w:lang w:val="lt-LT" w:eastAsia="lt-LT"/>
        </w:rPr>
        <w:t xml:space="preserve">Dauguma </w:t>
      </w:r>
      <w:r w:rsidR="00487A88">
        <w:rPr>
          <w:color w:val="000000"/>
          <w:lang w:val="lt-LT" w:eastAsia="lt-LT"/>
        </w:rPr>
        <w:t>asmenų</w:t>
      </w:r>
      <w:r w:rsidR="00812F00" w:rsidRPr="0044680A">
        <w:rPr>
          <w:color w:val="000000"/>
          <w:lang w:val="lt-LT" w:eastAsia="lt-LT"/>
        </w:rPr>
        <w:t xml:space="preserve"> yra patenkinti teikiamomis socialinėmis paslaugomis</w:t>
      </w:r>
      <w:r w:rsidR="00867217" w:rsidRPr="0044680A">
        <w:rPr>
          <w:color w:val="000000"/>
          <w:lang w:val="lt-LT" w:eastAsia="lt-LT"/>
        </w:rPr>
        <w:t xml:space="preserve"> –</w:t>
      </w:r>
      <w:r w:rsidR="007736D9">
        <w:rPr>
          <w:color w:val="000000"/>
          <w:lang w:val="lt-LT" w:eastAsia="lt-LT"/>
        </w:rPr>
        <w:t xml:space="preserve"> 88,41 </w:t>
      </w:r>
      <w:r w:rsidR="001A0040" w:rsidRPr="007736D9">
        <w:rPr>
          <w:lang w:val="lt-LT" w:eastAsia="lt-LT"/>
        </w:rPr>
        <w:t>%</w:t>
      </w:r>
      <w:r w:rsidR="00867217" w:rsidRPr="0044680A">
        <w:rPr>
          <w:color w:val="000000"/>
          <w:lang w:val="lt-LT" w:eastAsia="lt-LT"/>
        </w:rPr>
        <w:t xml:space="preserve">, </w:t>
      </w:r>
      <w:r w:rsidR="00C85ACB" w:rsidRPr="0044680A">
        <w:rPr>
          <w:color w:val="000000"/>
          <w:lang w:val="lt-LT" w:eastAsia="lt-LT"/>
        </w:rPr>
        <w:t>iš dalies patenkinti</w:t>
      </w:r>
      <w:r w:rsidR="006F392C" w:rsidRPr="0044680A">
        <w:rPr>
          <w:color w:val="000000"/>
          <w:lang w:val="lt-LT" w:eastAsia="lt-LT"/>
        </w:rPr>
        <w:t xml:space="preserve"> –</w:t>
      </w:r>
      <w:r w:rsidRPr="0044680A">
        <w:rPr>
          <w:color w:val="000000"/>
          <w:lang w:val="lt-LT" w:eastAsia="lt-LT"/>
        </w:rPr>
        <w:t xml:space="preserve"> </w:t>
      </w:r>
      <w:r w:rsidR="007736D9">
        <w:rPr>
          <w:color w:val="000000"/>
          <w:lang w:val="lt-LT" w:eastAsia="lt-LT"/>
        </w:rPr>
        <w:t xml:space="preserve">4,11 </w:t>
      </w:r>
      <w:r w:rsidR="00867217" w:rsidRPr="007736D9">
        <w:rPr>
          <w:lang w:val="lt-LT" w:eastAsia="lt-LT"/>
        </w:rPr>
        <w:t>%</w:t>
      </w:r>
      <w:r w:rsidR="006E0B3B">
        <w:rPr>
          <w:lang w:val="lt-LT" w:eastAsia="lt-LT"/>
        </w:rPr>
        <w:t xml:space="preserve">, </w:t>
      </w:r>
      <w:r w:rsidR="00CC23B1">
        <w:rPr>
          <w:lang w:val="lt-LT" w:eastAsia="lt-LT"/>
        </w:rPr>
        <w:t xml:space="preserve">                           </w:t>
      </w:r>
      <w:bookmarkStart w:id="0" w:name="_GoBack"/>
      <w:r w:rsidR="006E0B3B">
        <w:rPr>
          <w:lang w:val="lt-LT" w:eastAsia="lt-LT"/>
        </w:rPr>
        <w:t xml:space="preserve">kiti 7,48 </w:t>
      </w:r>
      <w:bookmarkEnd w:id="0"/>
      <w:r w:rsidR="006E0B3B">
        <w:rPr>
          <w:lang w:val="lt-LT" w:eastAsia="lt-LT"/>
        </w:rPr>
        <w:t xml:space="preserve">% - </w:t>
      </w:r>
      <w:r w:rsidR="0097026C">
        <w:rPr>
          <w:lang w:val="lt-LT" w:eastAsia="lt-LT"/>
        </w:rPr>
        <w:t>negalėjo įvertinti tam tikros paslaugos, nes</w:t>
      </w:r>
      <w:r w:rsidR="00CC23B1">
        <w:rPr>
          <w:lang w:val="lt-LT" w:eastAsia="lt-LT"/>
        </w:rPr>
        <w:t xml:space="preserve"> </w:t>
      </w:r>
      <w:r w:rsidR="0097026C">
        <w:rPr>
          <w:lang w:val="lt-LT" w:eastAsia="lt-LT"/>
        </w:rPr>
        <w:t>paslaugų teikimo laikotarpiu ne</w:t>
      </w:r>
      <w:r w:rsidR="00673707">
        <w:rPr>
          <w:lang w:val="lt-LT" w:eastAsia="lt-LT"/>
        </w:rPr>
        <w:t>buvo poreikio jos gau</w:t>
      </w:r>
      <w:r w:rsidR="0097026C">
        <w:rPr>
          <w:lang w:val="lt-LT" w:eastAsia="lt-LT"/>
        </w:rPr>
        <w:t xml:space="preserve">ti </w:t>
      </w:r>
      <w:r w:rsidR="00FB0D52">
        <w:rPr>
          <w:color w:val="000000"/>
          <w:lang w:val="lt-LT" w:eastAsia="lt-LT"/>
        </w:rPr>
        <w:t>(žr. P</w:t>
      </w:r>
      <w:r w:rsidR="00CF6D58" w:rsidRPr="0044680A">
        <w:rPr>
          <w:color w:val="000000"/>
          <w:lang w:val="lt-LT" w:eastAsia="lt-LT"/>
        </w:rPr>
        <w:t>av.</w:t>
      </w:r>
      <w:r w:rsidR="00FB0D52">
        <w:rPr>
          <w:color w:val="000000"/>
          <w:lang w:val="lt-LT" w:eastAsia="lt-LT"/>
        </w:rPr>
        <w:t xml:space="preserve"> 2</w:t>
      </w:r>
      <w:r w:rsidR="00CF6D58" w:rsidRPr="0044680A">
        <w:rPr>
          <w:color w:val="000000"/>
          <w:lang w:val="lt-LT" w:eastAsia="lt-LT"/>
        </w:rPr>
        <w:t>)</w:t>
      </w:r>
      <w:r w:rsidR="00867217" w:rsidRPr="0044680A">
        <w:rPr>
          <w:color w:val="000000"/>
          <w:lang w:val="lt-LT" w:eastAsia="lt-LT"/>
        </w:rPr>
        <w:t>.</w:t>
      </w:r>
    </w:p>
    <w:p w:rsidR="00FB0D52" w:rsidRPr="007736D9" w:rsidRDefault="007D3439" w:rsidP="00FB0D52">
      <w:pPr>
        <w:keepNext/>
        <w:tabs>
          <w:tab w:val="left" w:pos="3119"/>
        </w:tabs>
        <w:spacing w:after="40" w:line="276" w:lineRule="auto"/>
        <w:jc w:val="both"/>
        <w:rPr>
          <w:lang w:val="lt-LT"/>
        </w:rPr>
      </w:pPr>
      <w:r>
        <w:rPr>
          <w:noProof/>
          <w:color w:val="000000"/>
          <w:lang w:val="lt-LT" w:eastAsia="lt-LT"/>
        </w:rPr>
        <w:drawing>
          <wp:inline distT="0" distB="0" distL="0" distR="0">
            <wp:extent cx="6086246" cy="2983205"/>
            <wp:effectExtent l="0" t="38100" r="0" b="273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3439" w:rsidRPr="00FB0D52" w:rsidRDefault="00FB0D52" w:rsidP="00FB0D52">
      <w:pPr>
        <w:pStyle w:val="Caption"/>
        <w:jc w:val="right"/>
        <w:rPr>
          <w:i/>
          <w:color w:val="000000"/>
          <w:sz w:val="24"/>
          <w:lang w:val="lt-LT" w:eastAsia="lt-LT"/>
        </w:rPr>
      </w:pPr>
      <w:r w:rsidRPr="00FB0D52">
        <w:rPr>
          <w:i/>
          <w:sz w:val="24"/>
          <w:lang w:val="lt-LT"/>
        </w:rPr>
        <w:t xml:space="preserve">Pav. </w:t>
      </w:r>
      <w:r w:rsidRPr="00FB0D52">
        <w:rPr>
          <w:i/>
          <w:sz w:val="24"/>
          <w:lang w:val="lt-LT"/>
        </w:rPr>
        <w:fldChar w:fldCharType="begin"/>
      </w:r>
      <w:r w:rsidRPr="00FB0D52">
        <w:rPr>
          <w:i/>
          <w:sz w:val="24"/>
          <w:lang w:val="lt-LT"/>
        </w:rPr>
        <w:instrText xml:space="preserve"> SEQ Pav. \* ARABIC </w:instrText>
      </w:r>
      <w:r w:rsidRPr="00FB0D52">
        <w:rPr>
          <w:i/>
          <w:sz w:val="24"/>
          <w:lang w:val="lt-LT"/>
        </w:rPr>
        <w:fldChar w:fldCharType="separate"/>
      </w:r>
      <w:r w:rsidR="006C1E8E">
        <w:rPr>
          <w:i/>
          <w:noProof/>
          <w:sz w:val="24"/>
          <w:lang w:val="lt-LT"/>
        </w:rPr>
        <w:t>2</w:t>
      </w:r>
      <w:r w:rsidRPr="00FB0D52">
        <w:rPr>
          <w:i/>
          <w:sz w:val="24"/>
          <w:lang w:val="lt-LT"/>
        </w:rPr>
        <w:fldChar w:fldCharType="end"/>
      </w:r>
      <w:r w:rsidRPr="00FB0D52">
        <w:rPr>
          <w:i/>
          <w:sz w:val="24"/>
          <w:lang w:val="lt-LT"/>
        </w:rPr>
        <w:t xml:space="preserve"> </w:t>
      </w:r>
      <w:r w:rsidRPr="00FB0D52">
        <w:rPr>
          <w:b w:val="0"/>
          <w:i/>
          <w:color w:val="auto"/>
          <w:sz w:val="24"/>
          <w:lang w:val="lt-LT"/>
        </w:rPr>
        <w:t>Procentinis teikiamų dienos socialinės globos asmens namuose paslaugų įvertinimas</w:t>
      </w:r>
      <w:r>
        <w:rPr>
          <w:b w:val="0"/>
          <w:i/>
          <w:color w:val="auto"/>
          <w:sz w:val="24"/>
          <w:lang w:val="lt-LT"/>
        </w:rPr>
        <w:t>.</w:t>
      </w:r>
    </w:p>
    <w:p w:rsidR="00CF6D58" w:rsidRDefault="00DC37CF" w:rsidP="00E86C98">
      <w:pPr>
        <w:spacing w:line="276" w:lineRule="auto"/>
        <w:ind w:firstLine="1298"/>
        <w:jc w:val="both"/>
        <w:rPr>
          <w:color w:val="000000"/>
          <w:lang w:val="lt-LT" w:eastAsia="lt-LT"/>
        </w:rPr>
      </w:pPr>
      <w:r w:rsidRPr="0044680A">
        <w:rPr>
          <w:color w:val="000000"/>
          <w:lang w:val="lt-LT" w:eastAsia="lt-LT"/>
        </w:rPr>
        <w:lastRenderedPageBreak/>
        <w:t>Antru klausimu siekta</w:t>
      </w:r>
      <w:r w:rsidR="00960646" w:rsidRPr="0044680A">
        <w:rPr>
          <w:color w:val="000000"/>
          <w:lang w:val="lt-LT" w:eastAsia="lt-LT"/>
        </w:rPr>
        <w:t xml:space="preserve"> </w:t>
      </w:r>
      <w:r w:rsidRPr="0044680A">
        <w:rPr>
          <w:color w:val="000000"/>
          <w:lang w:val="lt-LT" w:eastAsia="lt-LT"/>
        </w:rPr>
        <w:t xml:space="preserve">įvertinti dienos socialinės globos asmens namuose paslaugas teikiančių darbuotojų gebėjimą komunikuoti su paslaugų gavėju ir kitus darbinius aspektus, turinčius įtakos paslaugų teikimo kokybei. </w:t>
      </w:r>
      <w:r w:rsidR="00CF6D58" w:rsidRPr="0044680A">
        <w:rPr>
          <w:color w:val="000000"/>
          <w:lang w:val="lt-LT" w:eastAsia="lt-LT"/>
        </w:rPr>
        <w:t xml:space="preserve">Darbuotojų atliekamu darbu yra patenkinti </w:t>
      </w:r>
      <w:r w:rsidR="002E4657">
        <w:rPr>
          <w:color w:val="000000"/>
          <w:lang w:val="lt-LT" w:eastAsia="lt-LT"/>
        </w:rPr>
        <w:t xml:space="preserve">98,45 </w:t>
      </w:r>
      <w:r w:rsidR="00CF6D58" w:rsidRPr="0044680A">
        <w:rPr>
          <w:color w:val="000000"/>
          <w:lang w:val="lt-LT" w:eastAsia="lt-LT"/>
        </w:rPr>
        <w:t xml:space="preserve">% paslaugų gavėjų, </w:t>
      </w:r>
      <w:r w:rsidR="00DB30D2" w:rsidRPr="0044680A">
        <w:rPr>
          <w:color w:val="000000"/>
          <w:lang w:val="lt-LT" w:eastAsia="lt-LT"/>
        </w:rPr>
        <w:t xml:space="preserve">~ </w:t>
      </w:r>
      <w:r w:rsidR="002E4657">
        <w:rPr>
          <w:color w:val="000000"/>
          <w:lang w:val="lt-LT" w:eastAsia="lt-LT"/>
        </w:rPr>
        <w:t>1,55</w:t>
      </w:r>
      <w:r w:rsidR="00CF6D58" w:rsidRPr="0044680A">
        <w:rPr>
          <w:color w:val="000000"/>
          <w:lang w:val="lt-LT" w:eastAsia="lt-LT"/>
        </w:rPr>
        <w:t xml:space="preserve"> %  apklaustųjų įvertinti </w:t>
      </w:r>
      <w:r w:rsidR="00B02963" w:rsidRPr="0044680A">
        <w:rPr>
          <w:color w:val="000000"/>
          <w:lang w:val="lt-LT" w:eastAsia="lt-LT"/>
        </w:rPr>
        <w:t xml:space="preserve"> </w:t>
      </w:r>
      <w:r w:rsidR="001F3207" w:rsidRPr="0044680A">
        <w:rPr>
          <w:color w:val="000000"/>
          <w:lang w:val="lt-LT" w:eastAsia="lt-LT"/>
        </w:rPr>
        <w:t xml:space="preserve">darbuotojo darbo </w:t>
      </w:r>
      <w:r w:rsidR="00B02963" w:rsidRPr="0044680A">
        <w:rPr>
          <w:color w:val="000000"/>
          <w:lang w:val="lt-LT" w:eastAsia="lt-LT"/>
        </w:rPr>
        <w:t xml:space="preserve">negalėjo </w:t>
      </w:r>
      <w:r w:rsidR="00CF6D58" w:rsidRPr="0044680A">
        <w:rPr>
          <w:color w:val="000000"/>
          <w:lang w:val="lt-LT" w:eastAsia="lt-LT"/>
        </w:rPr>
        <w:t>(žr. 2 pav.).</w:t>
      </w:r>
    </w:p>
    <w:p w:rsidR="004804ED" w:rsidRDefault="004804ED" w:rsidP="004804ED">
      <w:pPr>
        <w:keepNext/>
        <w:spacing w:line="276" w:lineRule="auto"/>
        <w:jc w:val="both"/>
      </w:pPr>
      <w:r>
        <w:rPr>
          <w:noProof/>
          <w:color w:val="000000"/>
          <w:lang w:val="lt-LT" w:eastAsia="lt-LT"/>
        </w:rPr>
        <w:drawing>
          <wp:inline distT="0" distB="0" distL="0" distR="0" wp14:anchorId="6A9C196F" wp14:editId="0188A5B3">
            <wp:extent cx="5979160" cy="3065069"/>
            <wp:effectExtent l="0" t="19050" r="0" b="25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4ED" w:rsidRPr="004804ED" w:rsidRDefault="004804ED" w:rsidP="004804ED">
      <w:pPr>
        <w:pStyle w:val="Caption"/>
        <w:jc w:val="right"/>
        <w:rPr>
          <w:i/>
          <w:color w:val="000000"/>
          <w:lang w:val="lt-LT" w:eastAsia="lt-LT"/>
        </w:rPr>
      </w:pPr>
      <w:proofErr w:type="spellStart"/>
      <w:r w:rsidRPr="004804ED">
        <w:rPr>
          <w:i/>
          <w:sz w:val="24"/>
          <w:szCs w:val="24"/>
        </w:rPr>
        <w:t>Pav</w:t>
      </w:r>
      <w:proofErr w:type="spellEnd"/>
      <w:r w:rsidRPr="004804ED">
        <w:rPr>
          <w:i/>
          <w:sz w:val="24"/>
          <w:szCs w:val="24"/>
        </w:rPr>
        <w:t xml:space="preserve">. </w:t>
      </w:r>
      <w:r w:rsidRPr="004804ED">
        <w:rPr>
          <w:i/>
          <w:sz w:val="24"/>
          <w:szCs w:val="24"/>
        </w:rPr>
        <w:fldChar w:fldCharType="begin"/>
      </w:r>
      <w:r w:rsidRPr="004804ED">
        <w:rPr>
          <w:i/>
          <w:sz w:val="24"/>
          <w:szCs w:val="24"/>
        </w:rPr>
        <w:instrText xml:space="preserve"> SEQ Pav. \* ARABIC </w:instrText>
      </w:r>
      <w:r w:rsidRPr="004804ED">
        <w:rPr>
          <w:i/>
          <w:sz w:val="24"/>
          <w:szCs w:val="24"/>
        </w:rPr>
        <w:fldChar w:fldCharType="separate"/>
      </w:r>
      <w:r w:rsidR="006C1E8E">
        <w:rPr>
          <w:i/>
          <w:noProof/>
          <w:sz w:val="24"/>
          <w:szCs w:val="24"/>
        </w:rPr>
        <w:t>3</w:t>
      </w:r>
      <w:r w:rsidRPr="004804ED">
        <w:rPr>
          <w:i/>
          <w:sz w:val="24"/>
          <w:szCs w:val="24"/>
        </w:rPr>
        <w:fldChar w:fldCharType="end"/>
      </w:r>
      <w:r w:rsidRPr="004804ED">
        <w:rPr>
          <w:i/>
          <w:sz w:val="24"/>
          <w:szCs w:val="24"/>
        </w:rPr>
        <w:t xml:space="preserve"> </w:t>
      </w:r>
      <w:proofErr w:type="spellStart"/>
      <w:r w:rsidRPr="004804ED">
        <w:rPr>
          <w:b w:val="0"/>
          <w:i/>
          <w:color w:val="auto"/>
          <w:sz w:val="24"/>
          <w:szCs w:val="24"/>
        </w:rPr>
        <w:t>Procentinis</w:t>
      </w:r>
      <w:proofErr w:type="spellEnd"/>
      <w:r w:rsidRPr="004804ED">
        <w:rPr>
          <w:b w:val="0"/>
          <w:i/>
          <w:color w:val="auto"/>
          <w:sz w:val="28"/>
        </w:rPr>
        <w:t xml:space="preserve"> </w:t>
      </w:r>
      <w:proofErr w:type="spellStart"/>
      <w:r w:rsidRPr="004804ED">
        <w:rPr>
          <w:b w:val="0"/>
          <w:i/>
          <w:color w:val="auto"/>
          <w:sz w:val="22"/>
        </w:rPr>
        <w:t>darbuotojų</w:t>
      </w:r>
      <w:proofErr w:type="spellEnd"/>
      <w:r w:rsidRPr="004804ED">
        <w:rPr>
          <w:b w:val="0"/>
          <w:i/>
          <w:color w:val="auto"/>
          <w:sz w:val="22"/>
        </w:rPr>
        <w:t xml:space="preserve"> </w:t>
      </w:r>
      <w:proofErr w:type="spellStart"/>
      <w:r w:rsidRPr="004804ED">
        <w:rPr>
          <w:b w:val="0"/>
          <w:i/>
          <w:color w:val="auto"/>
          <w:sz w:val="22"/>
        </w:rPr>
        <w:t>darbo</w:t>
      </w:r>
      <w:proofErr w:type="spellEnd"/>
      <w:r w:rsidRPr="004804ED">
        <w:rPr>
          <w:b w:val="0"/>
          <w:i/>
          <w:color w:val="auto"/>
          <w:sz w:val="22"/>
        </w:rPr>
        <w:t xml:space="preserve"> </w:t>
      </w:r>
      <w:proofErr w:type="spellStart"/>
      <w:r w:rsidRPr="004804ED">
        <w:rPr>
          <w:b w:val="0"/>
          <w:i/>
          <w:color w:val="auto"/>
          <w:sz w:val="22"/>
        </w:rPr>
        <w:t>įvertinimas</w:t>
      </w:r>
      <w:proofErr w:type="spellEnd"/>
      <w:r w:rsidRPr="004804ED">
        <w:rPr>
          <w:b w:val="0"/>
          <w:i/>
          <w:color w:val="auto"/>
          <w:sz w:val="22"/>
        </w:rPr>
        <w:t>.</w:t>
      </w:r>
    </w:p>
    <w:p w:rsidR="006A03DD" w:rsidRDefault="00CF6D58" w:rsidP="005633FE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  <w:r w:rsidRPr="0044680A">
        <w:rPr>
          <w:color w:val="000000"/>
          <w:lang w:val="lt-LT" w:eastAsia="lt-LT"/>
        </w:rPr>
        <w:tab/>
        <w:t>Vertinant gyvenimo kokybės pagerėjimą paslaugų teikimo laikotarpiu</w:t>
      </w:r>
      <w:r w:rsidR="001F3207" w:rsidRPr="0044680A">
        <w:rPr>
          <w:color w:val="000000"/>
          <w:lang w:val="lt-LT" w:eastAsia="lt-LT"/>
        </w:rPr>
        <w:t>,</w:t>
      </w:r>
      <w:r w:rsidRPr="0044680A">
        <w:rPr>
          <w:color w:val="000000"/>
          <w:lang w:val="lt-LT" w:eastAsia="lt-LT"/>
        </w:rPr>
        <w:t xml:space="preserve"> </w:t>
      </w:r>
      <w:r w:rsidR="00673707">
        <w:rPr>
          <w:color w:val="000000"/>
          <w:lang w:val="lt-LT" w:eastAsia="lt-LT"/>
        </w:rPr>
        <w:t xml:space="preserve">                                            </w:t>
      </w:r>
      <w:r w:rsidRPr="0044680A">
        <w:rPr>
          <w:color w:val="000000"/>
          <w:lang w:val="lt-LT" w:eastAsia="lt-LT"/>
        </w:rPr>
        <w:t xml:space="preserve"> </w:t>
      </w:r>
      <w:r w:rsidR="0032732D">
        <w:rPr>
          <w:color w:val="000000"/>
          <w:lang w:val="lt-LT" w:eastAsia="lt-LT"/>
        </w:rPr>
        <w:t>83</w:t>
      </w:r>
      <w:r w:rsidR="003E0F1A">
        <w:rPr>
          <w:color w:val="000000"/>
          <w:lang w:val="lt-LT" w:eastAsia="lt-LT"/>
        </w:rPr>
        <w:t xml:space="preserve"> </w:t>
      </w:r>
      <w:r w:rsidRPr="0044680A">
        <w:rPr>
          <w:color w:val="000000"/>
          <w:lang w:val="lt-LT" w:eastAsia="lt-LT"/>
        </w:rPr>
        <w:t xml:space="preserve">% paslaugų gavėjai atsakymais patvirtino gyvenimo kokybės pagerėjimą, </w:t>
      </w:r>
      <w:r w:rsidR="0032732D">
        <w:rPr>
          <w:color w:val="000000"/>
          <w:lang w:val="lt-LT" w:eastAsia="lt-LT"/>
        </w:rPr>
        <w:t>15</w:t>
      </w:r>
      <w:r w:rsidR="003E0F1A">
        <w:rPr>
          <w:color w:val="000000"/>
          <w:lang w:val="lt-LT" w:eastAsia="lt-LT"/>
        </w:rPr>
        <w:t xml:space="preserve"> </w:t>
      </w:r>
      <w:r w:rsidRPr="0044680A">
        <w:rPr>
          <w:color w:val="000000"/>
          <w:lang w:val="lt-LT" w:eastAsia="lt-LT"/>
        </w:rPr>
        <w:t xml:space="preserve">%  apklaustųjų </w:t>
      </w:r>
      <w:r w:rsidR="00673707">
        <w:rPr>
          <w:color w:val="000000"/>
          <w:lang w:val="lt-LT" w:eastAsia="lt-LT"/>
        </w:rPr>
        <w:t>-</w:t>
      </w:r>
      <w:r w:rsidRPr="0044680A">
        <w:rPr>
          <w:color w:val="000000"/>
          <w:lang w:val="lt-LT" w:eastAsia="lt-LT"/>
        </w:rPr>
        <w:t xml:space="preserve"> pagerėjo iš dalies</w:t>
      </w:r>
      <w:r w:rsidR="003E0F1A">
        <w:rPr>
          <w:color w:val="000000"/>
          <w:lang w:val="lt-LT" w:eastAsia="lt-LT"/>
        </w:rPr>
        <w:t>, 2% - neatsakė</w:t>
      </w:r>
      <w:r w:rsidR="00673707">
        <w:rPr>
          <w:color w:val="000000"/>
          <w:lang w:val="lt-LT" w:eastAsia="lt-LT"/>
        </w:rPr>
        <w:t xml:space="preserve"> (žr. Pav. 3</w:t>
      </w:r>
      <w:r w:rsidR="00B02963" w:rsidRPr="0044680A">
        <w:rPr>
          <w:color w:val="000000"/>
          <w:lang w:val="lt-LT" w:eastAsia="lt-LT"/>
        </w:rPr>
        <w:t>)</w:t>
      </w:r>
      <w:r w:rsidRPr="0044680A">
        <w:rPr>
          <w:color w:val="000000"/>
          <w:lang w:val="lt-LT" w:eastAsia="lt-LT"/>
        </w:rPr>
        <w:t>.</w:t>
      </w:r>
      <w:r w:rsidR="008E0DFB" w:rsidRPr="0044680A">
        <w:rPr>
          <w:color w:val="000000"/>
          <w:lang w:val="lt-LT" w:eastAsia="lt-LT"/>
        </w:rPr>
        <w:t xml:space="preserve"> </w:t>
      </w:r>
    </w:p>
    <w:p w:rsidR="006A03DD" w:rsidRDefault="006C1E8E" w:rsidP="005633FE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C18BE5" wp14:editId="2520A04B">
                <wp:simplePos x="0" y="0"/>
                <wp:positionH relativeFrom="margin">
                  <wp:align>center</wp:align>
                </wp:positionH>
                <wp:positionV relativeFrom="paragraph">
                  <wp:posOffset>2409825</wp:posOffset>
                </wp:positionV>
                <wp:extent cx="5457825" cy="635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E8E" w:rsidRPr="003E0F1A" w:rsidRDefault="006C1E8E" w:rsidP="003E0F1A">
                            <w:pPr>
                              <w:pStyle w:val="Caption"/>
                              <w:jc w:val="center"/>
                              <w:rPr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0F1A">
                              <w:rPr>
                                <w:i/>
                                <w:sz w:val="24"/>
                              </w:rPr>
                              <w:t>Pav</w:t>
                            </w:r>
                            <w:proofErr w:type="spellEnd"/>
                            <w:r w:rsidRPr="003E0F1A">
                              <w:rPr>
                                <w:i/>
                                <w:sz w:val="24"/>
                              </w:rPr>
                              <w:t xml:space="preserve">. </w:t>
                            </w:r>
                            <w:r w:rsidRPr="003E0F1A">
                              <w:rPr>
                                <w:i/>
                                <w:sz w:val="24"/>
                              </w:rPr>
                              <w:fldChar w:fldCharType="begin"/>
                            </w:r>
                            <w:r w:rsidRPr="003E0F1A">
                              <w:rPr>
                                <w:i/>
                                <w:sz w:val="24"/>
                              </w:rPr>
                              <w:instrText xml:space="preserve"> SEQ Pav. \* ARABIC </w:instrText>
                            </w:r>
                            <w:r w:rsidRPr="003E0F1A">
                              <w:rPr>
                                <w:i/>
                                <w:sz w:val="24"/>
                              </w:rPr>
                              <w:fldChar w:fldCharType="separate"/>
                            </w:r>
                            <w:r w:rsidRPr="003E0F1A">
                              <w:rPr>
                                <w:i/>
                                <w:noProof/>
                                <w:sz w:val="24"/>
                              </w:rPr>
                              <w:t>4</w:t>
                            </w:r>
                            <w:r w:rsidRPr="003E0F1A">
                              <w:rPr>
                                <w:i/>
                                <w:sz w:val="24"/>
                              </w:rPr>
                              <w:fldChar w:fldCharType="end"/>
                            </w:r>
                            <w:r w:rsidRPr="003E0F1A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Gyvenimo</w:t>
                            </w:r>
                            <w:proofErr w:type="spell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kokybės</w:t>
                            </w:r>
                            <w:proofErr w:type="spell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pagerėjimo</w:t>
                            </w:r>
                            <w:proofErr w:type="spell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dėl</w:t>
                            </w:r>
                            <w:proofErr w:type="spellEnd"/>
                            <w:proofErr w:type="gram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gaunamų</w:t>
                            </w:r>
                            <w:proofErr w:type="spell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dienos</w:t>
                            </w:r>
                            <w:proofErr w:type="spell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socialinės</w:t>
                            </w:r>
                            <w:proofErr w:type="spell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globos</w:t>
                            </w:r>
                            <w:proofErr w:type="spell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namuose</w:t>
                            </w:r>
                            <w:proofErr w:type="spellEnd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paslaugų</w:t>
                            </w:r>
                            <w:proofErr w:type="spellEnd"/>
                            <w:r w:rsidR="003E0F1A"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0F1A"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>procentinis</w:t>
                            </w:r>
                            <w:proofErr w:type="spellEnd"/>
                            <w:r w:rsidR="003E0F1A"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0F1A"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pasiskirstymas</w:t>
                            </w:r>
                            <w:proofErr w:type="spellEnd"/>
                            <w:r w:rsidR="003E0F1A" w:rsidRPr="003E0F1A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18B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89.75pt;width:429.75pt;height:.05pt;z-index:251663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" stroked="f">
                <v:textbox style="mso-fit-shape-to-text:t" inset="0,0,0,0">
                  <w:txbxContent>
                    <w:p w:rsidR="006C1E8E" w:rsidRPr="003E0F1A" w:rsidRDefault="006C1E8E" w:rsidP="003E0F1A">
                      <w:pPr>
                        <w:pStyle w:val="Caption"/>
                        <w:jc w:val="center"/>
                        <w:rPr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3E0F1A">
                        <w:rPr>
                          <w:i/>
                          <w:sz w:val="24"/>
                        </w:rPr>
                        <w:t>Pav</w:t>
                      </w:r>
                      <w:proofErr w:type="spellEnd"/>
                      <w:r w:rsidRPr="003E0F1A">
                        <w:rPr>
                          <w:i/>
                          <w:sz w:val="24"/>
                        </w:rPr>
                        <w:t xml:space="preserve">. </w:t>
                      </w:r>
                      <w:r w:rsidRPr="003E0F1A">
                        <w:rPr>
                          <w:i/>
                          <w:sz w:val="24"/>
                        </w:rPr>
                        <w:fldChar w:fldCharType="begin"/>
                      </w:r>
                      <w:r w:rsidRPr="003E0F1A">
                        <w:rPr>
                          <w:i/>
                          <w:sz w:val="24"/>
                        </w:rPr>
                        <w:instrText xml:space="preserve"> SEQ Pav. \* ARABIC </w:instrText>
                      </w:r>
                      <w:r w:rsidRPr="003E0F1A">
                        <w:rPr>
                          <w:i/>
                          <w:sz w:val="24"/>
                        </w:rPr>
                        <w:fldChar w:fldCharType="separate"/>
                      </w:r>
                      <w:r w:rsidRPr="003E0F1A">
                        <w:rPr>
                          <w:i/>
                          <w:noProof/>
                          <w:sz w:val="24"/>
                        </w:rPr>
                        <w:t>4</w:t>
                      </w:r>
                      <w:r w:rsidRPr="003E0F1A">
                        <w:rPr>
                          <w:i/>
                          <w:sz w:val="24"/>
                        </w:rPr>
                        <w:fldChar w:fldCharType="end"/>
                      </w:r>
                      <w:r w:rsidRPr="003E0F1A">
                        <w:rPr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Gyvenimo</w:t>
                      </w:r>
                      <w:proofErr w:type="spell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kokybės</w:t>
                      </w:r>
                      <w:proofErr w:type="spell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pagerėjimo</w:t>
                      </w:r>
                      <w:proofErr w:type="spell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dėl</w:t>
                      </w:r>
                      <w:proofErr w:type="spellEnd"/>
                      <w:proofErr w:type="gram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gaunamų</w:t>
                      </w:r>
                      <w:proofErr w:type="spell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dienos</w:t>
                      </w:r>
                      <w:proofErr w:type="spell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socialinės</w:t>
                      </w:r>
                      <w:proofErr w:type="spell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globos</w:t>
                      </w:r>
                      <w:proofErr w:type="spell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namuose</w:t>
                      </w:r>
                      <w:proofErr w:type="spellEnd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paslaugų</w:t>
                      </w:r>
                      <w:proofErr w:type="spellEnd"/>
                      <w:r w:rsidR="003E0F1A"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="003E0F1A"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>procentinis</w:t>
                      </w:r>
                      <w:proofErr w:type="spellEnd"/>
                      <w:r w:rsidR="003E0F1A" w:rsidRPr="003E0F1A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="003E0F1A" w:rsidRPr="003E0F1A"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pasiskirstymas</w:t>
                      </w:r>
                      <w:proofErr w:type="spellEnd"/>
                      <w:r w:rsidR="003E0F1A" w:rsidRPr="003E0F1A"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3DD" w:rsidRPr="0044680A">
        <w:rPr>
          <w:noProof/>
          <w:lang w:val="lt-LT" w:eastAsia="lt-LT"/>
        </w:rPr>
        <w:drawing>
          <wp:anchor distT="0" distB="0" distL="114300" distR="114300" simplePos="0" relativeHeight="251661824" behindDoc="0" locked="0" layoutInCell="1" allowOverlap="1" wp14:anchorId="240DC336" wp14:editId="3F06BF9D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5457825" cy="245745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ab/>
      </w: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3E0F1A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</w:p>
    <w:p w:rsidR="00FE68C7" w:rsidRDefault="003E0F1A" w:rsidP="003E0F1A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ab/>
        <w:t xml:space="preserve">Siekiant plačiau išanalizuoti priežastis, atsižvelgiant į gyvenimo kokybės gerinimą, </w:t>
      </w:r>
      <w:r w:rsidR="0032732D">
        <w:rPr>
          <w:color w:val="000000"/>
          <w:lang w:val="lt-LT" w:eastAsia="lt-LT"/>
        </w:rPr>
        <w:t xml:space="preserve">          </w:t>
      </w:r>
      <w:r>
        <w:rPr>
          <w:color w:val="000000"/>
          <w:lang w:val="lt-LT" w:eastAsia="lt-LT"/>
        </w:rPr>
        <w:t>4</w:t>
      </w:r>
      <w:r w:rsidR="00030120">
        <w:rPr>
          <w:color w:val="000000"/>
          <w:lang w:val="lt-LT" w:eastAsia="lt-LT"/>
        </w:rPr>
        <w:t>-jame</w:t>
      </w:r>
      <w:r>
        <w:rPr>
          <w:color w:val="000000"/>
          <w:lang w:val="lt-LT" w:eastAsia="lt-LT"/>
        </w:rPr>
        <w:t xml:space="preserve"> klausime </w:t>
      </w:r>
      <w:r w:rsidR="008E0DFB" w:rsidRPr="0044680A">
        <w:rPr>
          <w:color w:val="000000"/>
          <w:lang w:val="lt-LT" w:eastAsia="lt-LT"/>
        </w:rPr>
        <w:t xml:space="preserve">buvo išskirtas papildomas </w:t>
      </w:r>
      <w:r w:rsidR="00030120">
        <w:rPr>
          <w:color w:val="000000"/>
          <w:lang w:val="lt-LT" w:eastAsia="lt-LT"/>
        </w:rPr>
        <w:t>punktas, kuriame</w:t>
      </w:r>
      <w:r w:rsidR="008E0DFB" w:rsidRPr="0044680A">
        <w:rPr>
          <w:color w:val="000000"/>
          <w:lang w:val="lt-LT" w:eastAsia="lt-LT"/>
        </w:rPr>
        <w:t xml:space="preserve"> buvo prašoma pagrįsti savo pasirinkimą.</w:t>
      </w:r>
      <w:r>
        <w:rPr>
          <w:color w:val="000000"/>
          <w:lang w:val="lt-LT" w:eastAsia="lt-LT"/>
        </w:rPr>
        <w:t xml:space="preserve"> </w:t>
      </w:r>
      <w:r w:rsidR="00FE68C7">
        <w:rPr>
          <w:color w:val="000000"/>
          <w:lang w:val="lt-LT" w:eastAsia="lt-LT"/>
        </w:rPr>
        <w:t>Pagal paslaugų gavėjus ar jų šeimos narius/ globėjus, kokybės pagerėjui daugiausiai įtakos turėjo:</w:t>
      </w:r>
    </w:p>
    <w:p w:rsidR="00B02963" w:rsidRPr="00FE68C7" w:rsidRDefault="00FE68C7" w:rsidP="003E0F1A">
      <w:pPr>
        <w:tabs>
          <w:tab w:val="left" w:pos="1276"/>
        </w:tabs>
        <w:spacing w:line="276" w:lineRule="auto"/>
        <w:jc w:val="both"/>
        <w:rPr>
          <w:i/>
          <w:color w:val="000000"/>
          <w:lang w:val="lt-LT" w:eastAsia="lt-LT"/>
        </w:rPr>
      </w:pPr>
      <w:r w:rsidRPr="00FE68C7">
        <w:rPr>
          <w:i/>
          <w:color w:val="000000"/>
          <w:lang w:val="lt-LT" w:eastAsia="lt-LT"/>
        </w:rPr>
        <w:t>„Gaudama dienos socialinės globos paslaugas galiu dirbti, nes esu</w:t>
      </w:r>
      <w:r>
        <w:rPr>
          <w:i/>
          <w:color w:val="000000"/>
          <w:lang w:val="lt-LT" w:eastAsia="lt-LT"/>
        </w:rPr>
        <w:t xml:space="preserve"> </w:t>
      </w:r>
      <w:r w:rsidRPr="00FE68C7">
        <w:rPr>
          <w:i/>
          <w:color w:val="000000"/>
          <w:lang w:val="lt-LT" w:eastAsia="lt-LT"/>
        </w:rPr>
        <w:t>rami, kad mama bus tinkamai pasirūpinta“</w:t>
      </w:r>
      <w:r>
        <w:rPr>
          <w:i/>
          <w:color w:val="000000"/>
          <w:lang w:val="lt-LT" w:eastAsia="lt-LT"/>
        </w:rPr>
        <w:t xml:space="preserve">, „Tam įtakos turėjo ir turi socilinio darbuotojo padėjėja“, „soc. </w:t>
      </w:r>
      <w:r w:rsidR="00AA3B7F">
        <w:rPr>
          <w:i/>
          <w:color w:val="000000"/>
          <w:lang w:val="lt-LT" w:eastAsia="lt-LT"/>
        </w:rPr>
        <w:t>d</w:t>
      </w:r>
      <w:r>
        <w:rPr>
          <w:i/>
          <w:color w:val="000000"/>
          <w:lang w:val="lt-LT" w:eastAsia="lt-LT"/>
        </w:rPr>
        <w:t xml:space="preserve">arbuotojos dėka“, „Atsirado daugiau laisvo laiko“, „darbuotojo rūpestingumas“, „Soc. </w:t>
      </w:r>
      <w:r w:rsidR="00AA3B7F">
        <w:rPr>
          <w:i/>
          <w:color w:val="000000"/>
          <w:lang w:val="lt-LT" w:eastAsia="lt-LT"/>
        </w:rPr>
        <w:t>d</w:t>
      </w:r>
      <w:r>
        <w:rPr>
          <w:i/>
          <w:color w:val="000000"/>
          <w:lang w:val="lt-LT" w:eastAsia="lt-LT"/>
        </w:rPr>
        <w:t xml:space="preserve">arbuotojos pagalba“, „Dėl socialinio darbuotojo teikiamų savalaikių paslaugų“, „Laiku ir tinkamai suteikta priežiūra“, </w:t>
      </w:r>
      <w:r>
        <w:rPr>
          <w:i/>
          <w:color w:val="000000"/>
          <w:lang w:val="lt-LT" w:eastAsia="lt-LT"/>
        </w:rPr>
        <w:lastRenderedPageBreak/>
        <w:t>„Pastovus socilinio darbuotojo padėjėjo buvimas ir globotinio priežiūra“, „</w:t>
      </w:r>
      <w:r w:rsidR="00AA3B7F">
        <w:rPr>
          <w:i/>
          <w:color w:val="000000"/>
          <w:lang w:val="lt-LT" w:eastAsia="lt-LT"/>
        </w:rPr>
        <w:t>Kadangi gyvena viena, be soc. darbuotojo padėjėjo paslaugų negalėtų apsitarnauti, tektų keisti gyv. Vietą, vienagyventi negalėtų</w:t>
      </w:r>
      <w:r>
        <w:rPr>
          <w:i/>
          <w:color w:val="000000"/>
          <w:lang w:val="lt-LT" w:eastAsia="lt-LT"/>
        </w:rPr>
        <w:t>“</w:t>
      </w:r>
      <w:r w:rsidR="00AA3B7F">
        <w:rPr>
          <w:i/>
          <w:color w:val="000000"/>
          <w:lang w:val="lt-LT" w:eastAsia="lt-LT"/>
        </w:rPr>
        <w:t>, „Nuoširdus centro darbuotojų rūpestis. Kvalifikuotų darbuotojų nuoširdumas,puiki priežiūra namuose“, „Atėjimas socialinio darbuotojo padėjėjo į namus“, „Tai, kad lankosi žmogus, kuris gali viska padėti“, „Slaugytojos bendravimas, kompetencija ir pasitikėjimas“, „Galiu iš dalieslaisvai eiti į darbą ir gauti uždarbį“, „“Turiu laisvo laiko atlikti darbams už buto ribų“</w:t>
      </w:r>
      <w:r w:rsidR="00A05D3C">
        <w:rPr>
          <w:i/>
          <w:color w:val="000000"/>
          <w:lang w:val="lt-LT" w:eastAsia="lt-LT"/>
        </w:rPr>
        <w:t>, „Darbuotojos ateina kasdien ir sutartu laiku. Man labai didelė pagalba namuose, nes aš galiu ramiai dirbti darbe.“, „Kad skyre man darbuotoja kuri padeda“</w:t>
      </w:r>
      <w:r w:rsidR="00AA3B7F">
        <w:rPr>
          <w:i/>
          <w:color w:val="000000"/>
          <w:lang w:val="lt-LT" w:eastAsia="lt-LT"/>
        </w:rPr>
        <w:t>.</w:t>
      </w:r>
    </w:p>
    <w:p w:rsidR="00B02963" w:rsidRPr="0044680A" w:rsidRDefault="00673707" w:rsidP="00B02963">
      <w:pPr>
        <w:tabs>
          <w:tab w:val="left" w:pos="1276"/>
        </w:tabs>
        <w:spacing w:line="276" w:lineRule="auto"/>
        <w:jc w:val="both"/>
        <w:rPr>
          <w:noProof/>
          <w:color w:val="000000"/>
          <w:lang w:val="lt-LT" w:eastAsia="lt-LT"/>
        </w:rPr>
      </w:pPr>
      <w:r>
        <w:rPr>
          <w:noProof/>
          <w:color w:val="000000"/>
          <w:lang w:val="lt-LT" w:eastAsia="lt-LT"/>
        </w:rPr>
        <w:tab/>
        <w:t>Apklausos pabaigoje</w:t>
      </w:r>
      <w:r w:rsidR="00B02963" w:rsidRPr="0044680A">
        <w:rPr>
          <w:noProof/>
          <w:color w:val="000000"/>
          <w:lang w:val="lt-LT" w:eastAsia="lt-LT"/>
        </w:rPr>
        <w:t xml:space="preserve"> </w:t>
      </w:r>
      <w:r>
        <w:rPr>
          <w:noProof/>
          <w:color w:val="000000"/>
          <w:lang w:val="lt-LT" w:eastAsia="lt-LT"/>
        </w:rPr>
        <w:t xml:space="preserve">buvo prašoma </w:t>
      </w:r>
      <w:r w:rsidR="00B02963" w:rsidRPr="0044680A">
        <w:rPr>
          <w:noProof/>
          <w:color w:val="000000"/>
          <w:lang w:val="lt-LT" w:eastAsia="lt-LT"/>
        </w:rPr>
        <w:t>paslaugų g</w:t>
      </w:r>
      <w:r w:rsidR="00AA3B7F">
        <w:rPr>
          <w:noProof/>
          <w:color w:val="000000"/>
          <w:lang w:val="lt-LT" w:eastAsia="lt-LT"/>
        </w:rPr>
        <w:t>avėjų pateikti pas</w:t>
      </w:r>
      <w:r w:rsidR="00B02963" w:rsidRPr="0044680A">
        <w:rPr>
          <w:noProof/>
          <w:color w:val="000000"/>
          <w:lang w:val="lt-LT" w:eastAsia="lt-LT"/>
        </w:rPr>
        <w:t>tabas, pageidavimus dėl teikiamų paslaugų</w:t>
      </w:r>
      <w:r>
        <w:rPr>
          <w:noProof/>
          <w:color w:val="000000"/>
          <w:lang w:val="lt-LT" w:eastAsia="lt-LT"/>
        </w:rPr>
        <w:t xml:space="preserve"> kokybės gerinimo ateityje</w:t>
      </w:r>
      <w:r w:rsidR="00B02963" w:rsidRPr="0044680A">
        <w:rPr>
          <w:noProof/>
          <w:color w:val="000000"/>
          <w:lang w:val="lt-LT" w:eastAsia="lt-LT"/>
        </w:rPr>
        <w:t xml:space="preserve">. </w:t>
      </w:r>
    </w:p>
    <w:p w:rsidR="002114AE" w:rsidRPr="0044680A" w:rsidRDefault="002114AE" w:rsidP="00B02963">
      <w:pPr>
        <w:tabs>
          <w:tab w:val="left" w:pos="1276"/>
        </w:tabs>
        <w:spacing w:line="276" w:lineRule="auto"/>
        <w:jc w:val="both"/>
        <w:rPr>
          <w:noProof/>
          <w:color w:val="000000"/>
          <w:lang w:val="lt-LT" w:eastAsia="lt-LT"/>
        </w:rPr>
      </w:pPr>
      <w:r w:rsidRPr="0044680A">
        <w:rPr>
          <w:noProof/>
          <w:color w:val="000000"/>
          <w:lang w:val="lt-LT" w:eastAsia="lt-LT"/>
        </w:rPr>
        <w:tab/>
      </w:r>
      <w:r w:rsidR="00A26B79" w:rsidRPr="00A26B79">
        <w:rPr>
          <w:noProof/>
          <w:lang w:val="lt-LT" w:eastAsia="lt-LT"/>
        </w:rPr>
        <w:t>76</w:t>
      </w:r>
      <w:r w:rsidR="00AA3B7F" w:rsidRPr="00A26B79">
        <w:rPr>
          <w:noProof/>
          <w:lang w:val="lt-LT" w:eastAsia="lt-LT"/>
        </w:rPr>
        <w:t>,</w:t>
      </w:r>
      <w:r w:rsidR="00E155AA">
        <w:rPr>
          <w:noProof/>
          <w:lang w:val="lt-LT" w:eastAsia="lt-LT"/>
        </w:rPr>
        <w:t>09</w:t>
      </w:r>
      <w:r w:rsidR="00AA3B7F" w:rsidRPr="00A26B79">
        <w:rPr>
          <w:noProof/>
          <w:lang w:val="lt-LT" w:eastAsia="lt-LT"/>
        </w:rPr>
        <w:t xml:space="preserve"> </w:t>
      </w:r>
      <w:r w:rsidRPr="0044680A">
        <w:rPr>
          <w:color w:val="000000"/>
          <w:lang w:val="lt-LT" w:eastAsia="lt-LT"/>
        </w:rPr>
        <w:t>% paslaugų gavėjų  pastabų/ pageidavimų neturėjo.</w:t>
      </w:r>
    </w:p>
    <w:p w:rsidR="005633FE" w:rsidRPr="0044680A" w:rsidRDefault="00B02963" w:rsidP="00B02963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  <w:r w:rsidRPr="0044680A">
        <w:rPr>
          <w:noProof/>
          <w:color w:val="000000"/>
          <w:lang w:val="lt-LT" w:eastAsia="lt-LT"/>
        </w:rPr>
        <w:tab/>
      </w:r>
      <w:r w:rsidR="00E155AA">
        <w:rPr>
          <w:noProof/>
          <w:color w:val="000000"/>
          <w:lang w:val="lt-LT" w:eastAsia="lt-LT"/>
        </w:rPr>
        <w:t>6,52</w:t>
      </w:r>
      <w:r w:rsidR="00AA3B7F">
        <w:rPr>
          <w:noProof/>
          <w:color w:val="000000"/>
          <w:lang w:val="lt-LT" w:eastAsia="lt-LT"/>
        </w:rPr>
        <w:t xml:space="preserve"> </w:t>
      </w:r>
      <w:r w:rsidR="00110DE5" w:rsidRPr="0044680A">
        <w:rPr>
          <w:color w:val="000000"/>
          <w:lang w:val="lt-LT" w:eastAsia="lt-LT"/>
        </w:rPr>
        <w:t>%</w:t>
      </w:r>
      <w:r w:rsidR="000A5B8E" w:rsidRPr="0044680A">
        <w:rPr>
          <w:color w:val="000000"/>
          <w:lang w:val="lt-LT" w:eastAsia="lt-LT"/>
        </w:rPr>
        <w:t xml:space="preserve"> apklaustų paslaugų gavėjų padėkojo</w:t>
      </w:r>
      <w:r w:rsidR="002114AE" w:rsidRPr="0044680A">
        <w:rPr>
          <w:color w:val="000000"/>
          <w:lang w:val="lt-LT" w:eastAsia="lt-LT"/>
        </w:rPr>
        <w:t xml:space="preserve"> už teikiamas paslaugas</w:t>
      </w:r>
      <w:r w:rsidR="00110DE5" w:rsidRPr="0044680A">
        <w:rPr>
          <w:color w:val="000000"/>
          <w:lang w:val="lt-LT" w:eastAsia="lt-LT"/>
        </w:rPr>
        <w:t>,</w:t>
      </w:r>
      <w:r w:rsidR="000A5B8E" w:rsidRPr="0044680A">
        <w:rPr>
          <w:color w:val="000000"/>
          <w:lang w:val="lt-LT" w:eastAsia="lt-LT"/>
        </w:rPr>
        <w:t xml:space="preserve"> už kokybišką darbuotojų darbą</w:t>
      </w:r>
      <w:r w:rsidR="00F22323">
        <w:rPr>
          <w:color w:val="000000"/>
          <w:lang w:val="lt-LT" w:eastAsia="lt-LT"/>
        </w:rPr>
        <w:t xml:space="preserve">: </w:t>
      </w:r>
      <w:r w:rsidR="00F22323" w:rsidRPr="00F22323">
        <w:rPr>
          <w:i/>
          <w:color w:val="000000"/>
          <w:lang w:val="lt-LT" w:eastAsia="lt-LT"/>
        </w:rPr>
        <w:t>„Už viską labai ačiū. Viskas puiku.“</w:t>
      </w:r>
      <w:r w:rsidR="00A26B79">
        <w:rPr>
          <w:i/>
          <w:color w:val="000000"/>
          <w:lang w:val="lt-LT" w:eastAsia="lt-LT"/>
        </w:rPr>
        <w:t>, „Sėkmės ir geros darbuotojų sveikatos nelengvame darbe“, „</w:t>
      </w:r>
      <w:r w:rsidR="00E155AA">
        <w:rPr>
          <w:i/>
          <w:color w:val="000000"/>
          <w:lang w:val="lt-LT" w:eastAsia="lt-LT"/>
        </w:rPr>
        <w:t>Ačiū už begalinį rūpestį ir dar gyvuoti centrui toliau. Sėkmės!</w:t>
      </w:r>
      <w:r w:rsidR="00A26B79">
        <w:rPr>
          <w:i/>
          <w:color w:val="000000"/>
          <w:lang w:val="lt-LT" w:eastAsia="lt-LT"/>
        </w:rPr>
        <w:t>“.</w:t>
      </w:r>
    </w:p>
    <w:p w:rsidR="0064351D" w:rsidRPr="0064351D" w:rsidRDefault="00CF6D58" w:rsidP="00B02963">
      <w:pPr>
        <w:tabs>
          <w:tab w:val="left" w:pos="1276"/>
        </w:tabs>
        <w:spacing w:line="276" w:lineRule="auto"/>
        <w:jc w:val="both"/>
        <w:rPr>
          <w:color w:val="000000"/>
          <w:lang w:val="lt-LT" w:eastAsia="lt-LT"/>
        </w:rPr>
      </w:pPr>
      <w:r w:rsidRPr="0044680A">
        <w:rPr>
          <w:color w:val="000000"/>
          <w:lang w:val="lt-LT" w:eastAsia="lt-LT"/>
        </w:rPr>
        <w:tab/>
      </w:r>
      <w:r w:rsidR="00E155AA">
        <w:rPr>
          <w:color w:val="000000"/>
          <w:lang w:val="lt-LT" w:eastAsia="lt-LT"/>
        </w:rPr>
        <w:t>17,39</w:t>
      </w:r>
      <w:r w:rsidR="0096700E">
        <w:rPr>
          <w:color w:val="000000"/>
          <w:lang w:val="lt-LT" w:eastAsia="lt-LT"/>
        </w:rPr>
        <w:t xml:space="preserve"> </w:t>
      </w:r>
      <w:r w:rsidR="00A34F09" w:rsidRPr="0044680A">
        <w:rPr>
          <w:color w:val="000000"/>
          <w:lang w:val="lt-LT" w:eastAsia="lt-LT"/>
        </w:rPr>
        <w:t>%</w:t>
      </w:r>
      <w:r w:rsidR="001A0040" w:rsidRPr="0044680A">
        <w:rPr>
          <w:color w:val="000000"/>
          <w:lang w:val="lt-LT" w:eastAsia="lt-LT"/>
        </w:rPr>
        <w:t xml:space="preserve"> apklaustųjų įvardino konkrečius pasiūlymus</w:t>
      </w:r>
      <w:r w:rsidR="006F19B3" w:rsidRPr="0044680A">
        <w:rPr>
          <w:color w:val="000000"/>
          <w:lang w:val="lt-LT" w:eastAsia="lt-LT"/>
        </w:rPr>
        <w:t>, pageidavimus</w:t>
      </w:r>
      <w:r w:rsidR="001A0040" w:rsidRPr="0044680A">
        <w:rPr>
          <w:color w:val="000000"/>
          <w:lang w:val="lt-LT" w:eastAsia="lt-LT"/>
        </w:rPr>
        <w:t xml:space="preserve"> paslaugų</w:t>
      </w:r>
      <w:r w:rsidR="00105EA2" w:rsidRPr="0044680A">
        <w:rPr>
          <w:color w:val="000000"/>
          <w:lang w:val="lt-LT" w:eastAsia="lt-LT"/>
        </w:rPr>
        <w:t xml:space="preserve"> kokybės gerinimui</w:t>
      </w:r>
      <w:r w:rsidR="00063AFE" w:rsidRPr="0044680A">
        <w:rPr>
          <w:color w:val="000000"/>
          <w:lang w:val="lt-LT" w:eastAsia="lt-LT"/>
        </w:rPr>
        <w:t xml:space="preserve">: </w:t>
      </w:r>
      <w:r w:rsidR="00F22323" w:rsidRPr="00F22323">
        <w:rPr>
          <w:i/>
          <w:lang w:val="lt-LT" w:eastAsia="lt-LT"/>
        </w:rPr>
        <w:t>„</w:t>
      </w:r>
      <w:r w:rsidR="00F22323">
        <w:rPr>
          <w:i/>
          <w:lang w:val="lt-LT" w:eastAsia="lt-LT"/>
        </w:rPr>
        <w:t>Būtų gerai, kad nebūtų didelė darbuotojų kaita</w:t>
      </w:r>
      <w:r w:rsidR="00F22323" w:rsidRPr="00F22323">
        <w:rPr>
          <w:i/>
          <w:lang w:val="lt-LT" w:eastAsia="lt-LT"/>
        </w:rPr>
        <w:t>“</w:t>
      </w:r>
      <w:r w:rsidR="00F22323">
        <w:rPr>
          <w:i/>
          <w:lang w:val="lt-LT" w:eastAsia="lt-LT"/>
        </w:rPr>
        <w:t>, „Būtų gerai turėti darbuotoją per savaitgalius ir švenčių dienas, tam papildomai apmokant ir gali būti trumpinant laiką“, „Būtų reikalinga pastovi (periodinė) sveikatos</w:t>
      </w:r>
      <w:r w:rsidR="00673707">
        <w:rPr>
          <w:i/>
          <w:lang w:val="lt-LT" w:eastAsia="lt-LT"/>
        </w:rPr>
        <w:t xml:space="preserve"> </w:t>
      </w:r>
      <w:r w:rsidR="00F22323">
        <w:rPr>
          <w:i/>
          <w:lang w:val="lt-LT" w:eastAsia="lt-LT"/>
        </w:rPr>
        <w:t>priežiūros darbuotojo priežiūra – kad laikas nuo laiko būtų paimami tyrimai, įvertinama sveikatos būklė (į savaitę 1 kartą sakykim) ir teikiamos konsultacijos sveiaktos kl.“, „Būtų gerai, kad dirbtų darbuotojos slenkančiu grafiku, kad būtų galima ateiti ir savaitgalį“, „Tai tik dėl didesnių va</w:t>
      </w:r>
      <w:r w:rsidR="00511BCA">
        <w:rPr>
          <w:i/>
          <w:lang w:val="lt-LT" w:eastAsia="lt-LT"/>
        </w:rPr>
        <w:t>l</w:t>
      </w:r>
      <w:r w:rsidR="00F22323">
        <w:rPr>
          <w:i/>
          <w:lang w:val="lt-LT" w:eastAsia="lt-LT"/>
        </w:rPr>
        <w:t>andų skyrimo.“, „Norėtume daugiau bendravimo ne telefonu. Matant ligonį galima geriau įvertinti, kokių paslaugų galite pasiūlyti“, „Paslaugų apmokėjimas, norime, kad būtų paslaugos nemokamos ir, kad slaugomas asmuo gautų užsiėmimo valandų</w:t>
      </w:r>
      <w:r w:rsidR="00A26B79">
        <w:rPr>
          <w:i/>
          <w:lang w:val="lt-LT" w:eastAsia="lt-LT"/>
        </w:rPr>
        <w:t xml:space="preserve"> ugdyme</w:t>
      </w:r>
      <w:r w:rsidR="00F22323">
        <w:rPr>
          <w:i/>
          <w:lang w:val="lt-LT" w:eastAsia="lt-LT"/>
        </w:rPr>
        <w:t xml:space="preserve">“, </w:t>
      </w:r>
      <w:r w:rsidR="00A26B79">
        <w:rPr>
          <w:i/>
          <w:lang w:val="lt-LT" w:eastAsia="lt-LT"/>
        </w:rPr>
        <w:t>„Galėtų būti pigesnės paslaugos“.</w:t>
      </w:r>
    </w:p>
    <w:sectPr w:rsidR="0064351D" w:rsidRPr="0064351D" w:rsidSect="00FB0D52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EC5"/>
    <w:multiLevelType w:val="multilevel"/>
    <w:tmpl w:val="328EE2A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42769"/>
    <w:multiLevelType w:val="multilevel"/>
    <w:tmpl w:val="620A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C6EFA"/>
    <w:multiLevelType w:val="multilevel"/>
    <w:tmpl w:val="5AFE262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D6886"/>
    <w:multiLevelType w:val="multilevel"/>
    <w:tmpl w:val="63F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F0E82"/>
    <w:multiLevelType w:val="multilevel"/>
    <w:tmpl w:val="868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8276B"/>
    <w:multiLevelType w:val="multilevel"/>
    <w:tmpl w:val="FFF897C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73CD7"/>
    <w:multiLevelType w:val="multilevel"/>
    <w:tmpl w:val="909E8B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84016"/>
    <w:multiLevelType w:val="multilevel"/>
    <w:tmpl w:val="B4383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106C4"/>
    <w:multiLevelType w:val="multilevel"/>
    <w:tmpl w:val="6ECE52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52B95"/>
    <w:multiLevelType w:val="multilevel"/>
    <w:tmpl w:val="5A388C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A2873"/>
    <w:multiLevelType w:val="multilevel"/>
    <w:tmpl w:val="0ADA89C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75E7C"/>
    <w:multiLevelType w:val="multilevel"/>
    <w:tmpl w:val="F97EFB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37212"/>
    <w:multiLevelType w:val="multilevel"/>
    <w:tmpl w:val="F1E0C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E3711"/>
    <w:multiLevelType w:val="multilevel"/>
    <w:tmpl w:val="9966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00CC5"/>
    <w:multiLevelType w:val="hybridMultilevel"/>
    <w:tmpl w:val="3CD0691E"/>
    <w:lvl w:ilvl="0" w:tplc="0427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50"/>
    <w:rsid w:val="00004285"/>
    <w:rsid w:val="00021429"/>
    <w:rsid w:val="000216C5"/>
    <w:rsid w:val="00030120"/>
    <w:rsid w:val="000339C0"/>
    <w:rsid w:val="00050150"/>
    <w:rsid w:val="00063AFE"/>
    <w:rsid w:val="00072CD6"/>
    <w:rsid w:val="00082BA7"/>
    <w:rsid w:val="000918A7"/>
    <w:rsid w:val="000A17FB"/>
    <w:rsid w:val="000A3BD7"/>
    <w:rsid w:val="000A5B8E"/>
    <w:rsid w:val="000B157F"/>
    <w:rsid w:val="000E2FF3"/>
    <w:rsid w:val="00104868"/>
    <w:rsid w:val="00105EA2"/>
    <w:rsid w:val="00110DE5"/>
    <w:rsid w:val="001723FD"/>
    <w:rsid w:val="00172CDA"/>
    <w:rsid w:val="00175291"/>
    <w:rsid w:val="00175474"/>
    <w:rsid w:val="00194438"/>
    <w:rsid w:val="001A0040"/>
    <w:rsid w:val="001A31C9"/>
    <w:rsid w:val="001A3927"/>
    <w:rsid w:val="001A4F03"/>
    <w:rsid w:val="001C2E8C"/>
    <w:rsid w:val="001C37E9"/>
    <w:rsid w:val="001E4338"/>
    <w:rsid w:val="001F3207"/>
    <w:rsid w:val="002065E7"/>
    <w:rsid w:val="002114AE"/>
    <w:rsid w:val="00213185"/>
    <w:rsid w:val="0022273B"/>
    <w:rsid w:val="00223CB6"/>
    <w:rsid w:val="00256C23"/>
    <w:rsid w:val="00295B14"/>
    <w:rsid w:val="002E4657"/>
    <w:rsid w:val="002F1026"/>
    <w:rsid w:val="002F296F"/>
    <w:rsid w:val="003111AF"/>
    <w:rsid w:val="00311623"/>
    <w:rsid w:val="0032732D"/>
    <w:rsid w:val="0033162A"/>
    <w:rsid w:val="003667F6"/>
    <w:rsid w:val="00374824"/>
    <w:rsid w:val="003751C0"/>
    <w:rsid w:val="00381D0A"/>
    <w:rsid w:val="00385687"/>
    <w:rsid w:val="00393451"/>
    <w:rsid w:val="003B08DC"/>
    <w:rsid w:val="003B79F7"/>
    <w:rsid w:val="003E0F1A"/>
    <w:rsid w:val="003F3DB4"/>
    <w:rsid w:val="004033BB"/>
    <w:rsid w:val="004047F9"/>
    <w:rsid w:val="0044680A"/>
    <w:rsid w:val="00460C32"/>
    <w:rsid w:val="00464D3A"/>
    <w:rsid w:val="00474B7D"/>
    <w:rsid w:val="004804ED"/>
    <w:rsid w:val="004867B5"/>
    <w:rsid w:val="00487A88"/>
    <w:rsid w:val="004A1DC0"/>
    <w:rsid w:val="004A5495"/>
    <w:rsid w:val="004E5BDE"/>
    <w:rsid w:val="00511BCA"/>
    <w:rsid w:val="00513431"/>
    <w:rsid w:val="005340FD"/>
    <w:rsid w:val="00543F8F"/>
    <w:rsid w:val="005633FE"/>
    <w:rsid w:val="005774CB"/>
    <w:rsid w:val="005A3855"/>
    <w:rsid w:val="005C66C0"/>
    <w:rsid w:val="00602902"/>
    <w:rsid w:val="00620AA0"/>
    <w:rsid w:val="00624E09"/>
    <w:rsid w:val="0064351D"/>
    <w:rsid w:val="00645655"/>
    <w:rsid w:val="00664DE6"/>
    <w:rsid w:val="0066708E"/>
    <w:rsid w:val="00673707"/>
    <w:rsid w:val="00685E08"/>
    <w:rsid w:val="006A03DD"/>
    <w:rsid w:val="006A3175"/>
    <w:rsid w:val="006C1E8E"/>
    <w:rsid w:val="006C4B41"/>
    <w:rsid w:val="006E0B3B"/>
    <w:rsid w:val="006E2442"/>
    <w:rsid w:val="006F19B3"/>
    <w:rsid w:val="006F392C"/>
    <w:rsid w:val="007001F9"/>
    <w:rsid w:val="00703D69"/>
    <w:rsid w:val="007125F9"/>
    <w:rsid w:val="007324E4"/>
    <w:rsid w:val="00741930"/>
    <w:rsid w:val="007617DD"/>
    <w:rsid w:val="007736D9"/>
    <w:rsid w:val="00796E39"/>
    <w:rsid w:val="007A4B2D"/>
    <w:rsid w:val="007B7DC4"/>
    <w:rsid w:val="007D3439"/>
    <w:rsid w:val="007D7A87"/>
    <w:rsid w:val="007D7AA1"/>
    <w:rsid w:val="007E4FEF"/>
    <w:rsid w:val="007F66DD"/>
    <w:rsid w:val="00812F00"/>
    <w:rsid w:val="0081411C"/>
    <w:rsid w:val="008166F9"/>
    <w:rsid w:val="00823236"/>
    <w:rsid w:val="00823BF2"/>
    <w:rsid w:val="0083265E"/>
    <w:rsid w:val="00867217"/>
    <w:rsid w:val="008672D4"/>
    <w:rsid w:val="00874A79"/>
    <w:rsid w:val="008843EA"/>
    <w:rsid w:val="008846A3"/>
    <w:rsid w:val="00887EBE"/>
    <w:rsid w:val="008917C3"/>
    <w:rsid w:val="008A0CF9"/>
    <w:rsid w:val="008A123A"/>
    <w:rsid w:val="008C3BBA"/>
    <w:rsid w:val="008E0DFB"/>
    <w:rsid w:val="008E1F42"/>
    <w:rsid w:val="008E721B"/>
    <w:rsid w:val="0090496F"/>
    <w:rsid w:val="009076CF"/>
    <w:rsid w:val="00923660"/>
    <w:rsid w:val="0094222D"/>
    <w:rsid w:val="00960646"/>
    <w:rsid w:val="0096700E"/>
    <w:rsid w:val="0097026C"/>
    <w:rsid w:val="00973BC3"/>
    <w:rsid w:val="009A75B7"/>
    <w:rsid w:val="009B7FC0"/>
    <w:rsid w:val="009E68E2"/>
    <w:rsid w:val="00A0540B"/>
    <w:rsid w:val="00A05D3C"/>
    <w:rsid w:val="00A26B79"/>
    <w:rsid w:val="00A34F09"/>
    <w:rsid w:val="00AA3B7F"/>
    <w:rsid w:val="00AC5BFF"/>
    <w:rsid w:val="00AE1017"/>
    <w:rsid w:val="00B02963"/>
    <w:rsid w:val="00B07699"/>
    <w:rsid w:val="00B10266"/>
    <w:rsid w:val="00B115D5"/>
    <w:rsid w:val="00B2621F"/>
    <w:rsid w:val="00B43F32"/>
    <w:rsid w:val="00B65A28"/>
    <w:rsid w:val="00B67358"/>
    <w:rsid w:val="00B77115"/>
    <w:rsid w:val="00B9175D"/>
    <w:rsid w:val="00BA3EE5"/>
    <w:rsid w:val="00BB1F05"/>
    <w:rsid w:val="00BB7A9E"/>
    <w:rsid w:val="00BC1148"/>
    <w:rsid w:val="00BC1150"/>
    <w:rsid w:val="00BD777C"/>
    <w:rsid w:val="00BF5033"/>
    <w:rsid w:val="00C0074C"/>
    <w:rsid w:val="00C00CB4"/>
    <w:rsid w:val="00C101A6"/>
    <w:rsid w:val="00C34519"/>
    <w:rsid w:val="00C467F7"/>
    <w:rsid w:val="00C52D1A"/>
    <w:rsid w:val="00C63F26"/>
    <w:rsid w:val="00C7557C"/>
    <w:rsid w:val="00C83A8F"/>
    <w:rsid w:val="00C85ACB"/>
    <w:rsid w:val="00C904DD"/>
    <w:rsid w:val="00CA3120"/>
    <w:rsid w:val="00CB0181"/>
    <w:rsid w:val="00CB7E7A"/>
    <w:rsid w:val="00CC23B1"/>
    <w:rsid w:val="00CC41BF"/>
    <w:rsid w:val="00CD0A9E"/>
    <w:rsid w:val="00CE5DFF"/>
    <w:rsid w:val="00CE75AE"/>
    <w:rsid w:val="00CF6D58"/>
    <w:rsid w:val="00D030A7"/>
    <w:rsid w:val="00D0637B"/>
    <w:rsid w:val="00D403A8"/>
    <w:rsid w:val="00D40F1C"/>
    <w:rsid w:val="00D54612"/>
    <w:rsid w:val="00D7597E"/>
    <w:rsid w:val="00D845BE"/>
    <w:rsid w:val="00DB2A85"/>
    <w:rsid w:val="00DB30D2"/>
    <w:rsid w:val="00DC37CF"/>
    <w:rsid w:val="00DF6A3E"/>
    <w:rsid w:val="00E00956"/>
    <w:rsid w:val="00E0336F"/>
    <w:rsid w:val="00E07A25"/>
    <w:rsid w:val="00E155AA"/>
    <w:rsid w:val="00E40C99"/>
    <w:rsid w:val="00E505E6"/>
    <w:rsid w:val="00E627AF"/>
    <w:rsid w:val="00E65878"/>
    <w:rsid w:val="00E86C98"/>
    <w:rsid w:val="00E97B51"/>
    <w:rsid w:val="00EA7AEB"/>
    <w:rsid w:val="00EB771E"/>
    <w:rsid w:val="00EC0633"/>
    <w:rsid w:val="00EF2410"/>
    <w:rsid w:val="00EF3DF4"/>
    <w:rsid w:val="00F17962"/>
    <w:rsid w:val="00F22323"/>
    <w:rsid w:val="00F254D1"/>
    <w:rsid w:val="00F51F85"/>
    <w:rsid w:val="00F84345"/>
    <w:rsid w:val="00F92A0F"/>
    <w:rsid w:val="00F94ACF"/>
    <w:rsid w:val="00FA187F"/>
    <w:rsid w:val="00FB0D52"/>
    <w:rsid w:val="00FB272A"/>
    <w:rsid w:val="00FD1794"/>
    <w:rsid w:val="00FD1D5D"/>
    <w:rsid w:val="00FD3F4E"/>
    <w:rsid w:val="00FD6B53"/>
    <w:rsid w:val="00FD6E76"/>
    <w:rsid w:val="00FE68C7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E9BD-F4D8-406C-90F6-EED1332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3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4A1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4A1DC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EnvelopeReturn">
    <w:name w:val="envelope return"/>
    <w:basedOn w:val="Normal"/>
    <w:rsid w:val="004A1DC0"/>
    <w:rPr>
      <w:rFonts w:ascii="TimesLT" w:hAnsi="TimesLT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42"/>
    <w:rPr>
      <w:rFonts w:ascii="Segoe UI" w:eastAsia="Times New Roma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904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03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065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37CF"/>
    <w:rPr>
      <w:i/>
      <w:iCs/>
    </w:rPr>
  </w:style>
  <w:style w:type="table" w:styleId="LightGrid">
    <w:name w:val="Light Grid"/>
    <w:basedOn w:val="TableNormal"/>
    <w:uiPriority w:val="62"/>
    <w:rsid w:val="00385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8.61389352624745E-2"/>
                  <c:y val="0.3671462752889401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F8F69B3-A518-4605-B4E9-F19991B9470D}" type="CATEGORYNAME">
                      <a:rPr lang="lt-LT" sz="1100" b="0"/>
                      <a:pPr>
                        <a:defRPr sz="1100"/>
                      </a:pPr>
                      <a:t>[CATEGORY NAME]</a:t>
                    </a:fld>
                    <a:r>
                      <a:rPr lang="lt-LT" sz="1100" b="0" baseline="0"/>
                      <a:t>
</a:t>
                    </a:r>
                    <a:fld id="{4E9077DD-91A6-4C4F-8CB6-42E42DBA5A6F}" type="PERCENTAGE">
                      <a:rPr lang="lt-LT" sz="1400" b="1" baseline="0"/>
                      <a:pPr>
                        <a:defRPr sz="1100"/>
                      </a:pPr>
                      <a:t>[PERCENTAGE]</a:t>
                    </a:fld>
                    <a:endParaRPr lang="lt-LT" sz="1100" b="0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3489"/>
                        <a:gd name="adj2" fmla="val -56669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293011065282437"/>
                      <c:h val="0.5772294698021427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5.0925925925925944E-2"/>
                  <c:y val="-0.25396825396825407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FD7A168-B975-4B85-A3DA-9BFF792A3722}" type="CATEGORYNAME">
                      <a:rPr lang="lt-LT" sz="1100" b="0"/>
                      <a:pPr>
                        <a:defRPr sz="1100"/>
                      </a:pPr>
                      <a:t>[CATEGORY NAME]</a:t>
                    </a:fld>
                    <a:r>
                      <a:rPr lang="lt-LT" sz="1100" b="0" baseline="0"/>
                      <a:t>
</a:t>
                    </a:r>
                    <a:fld id="{883689AF-CD42-447E-A63C-052D99133F72}" type="PERCENTAGE">
                      <a:rPr lang="lt-LT" sz="1400" b="1" baseline="0"/>
                      <a:pPr>
                        <a:defRPr sz="1100"/>
                      </a:pPr>
                      <a:t>[PERCENTAGE]</a:t>
                    </a:fld>
                    <a:endParaRPr lang="lt-LT" sz="1100" b="0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13924"/>
                        <a:gd name="adj2" fmla="val 14849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3F9CD04-DF5A-4C54-9E30-3AE3E83CE016}" type="CATEGORYNAME">
                      <a:rPr lang="lt-LT" b="0"/>
                      <a:pPr>
                        <a:defRPr sz="1100"/>
                      </a:pPr>
                      <a:t>[CATEGORY NAME]</a:t>
                    </a:fld>
                    <a:r>
                      <a:rPr lang="lt-LT" b="1" baseline="0"/>
                      <a:t>
</a:t>
                    </a:r>
                    <a:fld id="{225A9447-EE7E-4BF9-95BA-EF76C879840F}" type="PERCENTAGE">
                      <a:rPr lang="lt-LT" sz="1400" b="1" baseline="0"/>
                      <a:pPr>
                        <a:defRPr sz="1100"/>
                      </a:pPr>
                      <a:t>[PERCENTAGE]</a:t>
                    </a:fld>
                    <a:endParaRPr lang="lt-LT" b="1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7063"/>
                        <a:gd name="adj2" fmla="val 69802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34027777777777779"/>
                  <c:y val="4.365079365079364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FB3D4A4-FFEB-4EF5-871D-214AB8203493}" type="CATEGORYNAME">
                      <a:rPr lang="lt-LT" sz="1100" b="0"/>
                      <a:pPr>
                        <a:defRPr sz="1100"/>
                      </a:pPr>
                      <a:t>[CATEGORY NAME]</a:t>
                    </a:fld>
                    <a:r>
                      <a:rPr lang="lt-LT" sz="1100" b="0" baseline="0"/>
                      <a:t>
</a:t>
                    </a:r>
                    <a:fld id="{81817967-5E93-4D45-BAD0-B5D1A4AE5738}" type="PERCENTAGE">
                      <a:rPr lang="lt-LT" sz="1400" b="1" baseline="0"/>
                      <a:pPr>
                        <a:defRPr sz="1100"/>
                      </a:pPr>
                      <a:t>[PERCENTAGE]</a:t>
                    </a:fld>
                    <a:endParaRPr lang="lt-LT" sz="1100" b="0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31109"/>
                        <a:gd name="adj2" fmla="val 39126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Asmuo, gaunantis dienos socialinės globos namuose paslaugas</c:v>
                </c:pt>
                <c:pt idx="1">
                  <c:v>Paslaugų gavėjo šeimos narys/globėjas</c:v>
                </c:pt>
                <c:pt idx="2">
                  <c:v>Pildė kartu</c:v>
                </c:pt>
                <c:pt idx="3">
                  <c:v>Neatsakė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28.260869565217391</c:v>
                </c:pt>
                <c:pt idx="1">
                  <c:v>60.869565217391305</c:v>
                </c:pt>
                <c:pt idx="2">
                  <c:v>2.1739130434782608</c:v>
                </c:pt>
                <c:pt idx="3">
                  <c:v>8.695652173913043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016276533827495"/>
          <c:y val="2.307113037044866E-2"/>
          <c:w val="0.48768979044371624"/>
          <c:h val="0.916111345981081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Esu patenkintas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50800" dist="50800" dir="5400000" algn="ctr" rotWithShape="0">
                <a:schemeClr val="bg1"/>
              </a:outerShdw>
            </a:effectLst>
          </c:spPr>
          <c:invertIfNegative val="0"/>
          <c:dLbls>
            <c:dLbl>
              <c:idx val="0"/>
              <c:layout>
                <c:manualLayout>
                  <c:x val="-4.2900552257466237E-3"/>
                  <c:y val="-4.25923682616596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8088360237893E-3"/>
                  <c:y val="3.354213311195525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9617672047578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659753098686009E-3"/>
                  <c:y val="6.4607308701796889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3.3542133119764892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Informavimas, konsultavimas</c:v>
                </c:pt>
                <c:pt idx="1">
                  <c:v>Tarpininkavimas, atstovavimas</c:v>
                </c:pt>
                <c:pt idx="2">
                  <c:v>Sveikatos priežiūros paslaugų organizavimas </c:v>
                </c:pt>
                <c:pt idx="3">
                  <c:v>Bendravimas</c:v>
                </c:pt>
                <c:pt idx="4">
                  <c:v>Maitinimo organizavimas </c:v>
                </c:pt>
                <c:pt idx="5">
                  <c:v>Kasdienio gyvenimo įgūdžių ugdymas ir palaikymas</c:v>
                </c:pt>
                <c:pt idx="6">
                  <c:v>Asmens higienos ir priežiūros paslaugų organizavimas </c:v>
                </c:pt>
                <c:pt idx="7">
                  <c:v>Pagalba rengiantis, maitinantis, prausiantis </c:v>
                </c:pt>
                <c:pt idx="8">
                  <c:v>Kitos paslaugos, reikalingos pagal savarankiškumo lygį</c:v>
                </c:pt>
              </c:strCache>
            </c:strRef>
          </c:cat>
          <c:val>
            <c:numRef>
              <c:f>Sheet1!$B$2:$B$10</c:f>
              <c:numCache>
                <c:formatCode>0.00</c:formatCode>
                <c:ptCount val="9"/>
                <c:pt idx="0">
                  <c:v>86.956521739130437</c:v>
                </c:pt>
                <c:pt idx="1">
                  <c:v>78.260869565217391</c:v>
                </c:pt>
                <c:pt idx="2">
                  <c:v>67.391304347826093</c:v>
                </c:pt>
                <c:pt idx="3">
                  <c:v>89.130434782608702</c:v>
                </c:pt>
                <c:pt idx="4">
                  <c:v>91.304347826086953</c:v>
                </c:pt>
                <c:pt idx="5">
                  <c:v>95.652173913043484</c:v>
                </c:pt>
                <c:pt idx="6">
                  <c:v>97.826086956521735</c:v>
                </c:pt>
                <c:pt idx="7">
                  <c:v>97.826086956521735</c:v>
                </c:pt>
                <c:pt idx="8">
                  <c:v>91.304347826086953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Esu iš dalies patenkitas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0262963974929001E-3"/>
                  <c:y val="-7.72041187159297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5690899725045E-2"/>
                      <c:h val="4.516984897654566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055730809674035E-2"/>
                  <c:y val="-8.3611548556430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26849037486592E-3"/>
                  <c:y val="-4.0040040040040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790273556231749E-3"/>
                  <c:y val="-1.20120120120120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20840060607566E-2"/>
                  <c:y val="-3.90454270139309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Informavimas, konsultavimas</c:v>
                </c:pt>
                <c:pt idx="1">
                  <c:v>Tarpininkavimas, atstovavimas</c:v>
                </c:pt>
                <c:pt idx="2">
                  <c:v>Sveikatos priežiūros paslaugų organizavimas </c:v>
                </c:pt>
                <c:pt idx="3">
                  <c:v>Bendravimas</c:v>
                </c:pt>
                <c:pt idx="4">
                  <c:v>Maitinimo organizavimas </c:v>
                </c:pt>
                <c:pt idx="5">
                  <c:v>Kasdienio gyvenimo įgūdžių ugdymas ir palaikymas</c:v>
                </c:pt>
                <c:pt idx="6">
                  <c:v>Asmens higienos ir priežiūros paslaugų organizavimas </c:v>
                </c:pt>
                <c:pt idx="7">
                  <c:v>Pagalba rengiantis, maitinantis, prausiantis </c:v>
                </c:pt>
                <c:pt idx="8">
                  <c:v>Kitos paslaugos, reikalingos pagal savarankiškumo lygį</c:v>
                </c:pt>
              </c:strCache>
            </c:strRef>
          </c:cat>
          <c:val>
            <c:numRef>
              <c:f>Sheet1!$C$2:$C$10</c:f>
              <c:numCache>
                <c:formatCode>0.00</c:formatCode>
                <c:ptCount val="9"/>
                <c:pt idx="0">
                  <c:v>8.695652173913043</c:v>
                </c:pt>
                <c:pt idx="1">
                  <c:v>6.5217391304347823</c:v>
                </c:pt>
                <c:pt idx="2">
                  <c:v>10.869565217391305</c:v>
                </c:pt>
                <c:pt idx="3">
                  <c:v>8.695652173913043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2.1800000000000002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Esu nepatenkintas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errBars>
            <c:errBarType val="both"/>
            <c:errValType val="percentage"/>
            <c:noEndCap val="0"/>
            <c:val val="5"/>
            <c:spPr>
              <a:noFill/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errBars>
          <c:cat>
            <c:strRef>
              <c:f>Sheet1!$A$2:$A$10</c:f>
              <c:strCache>
                <c:ptCount val="9"/>
                <c:pt idx="0">
                  <c:v>Informavimas, konsultavimas</c:v>
                </c:pt>
                <c:pt idx="1">
                  <c:v>Tarpininkavimas, atstovavimas</c:v>
                </c:pt>
                <c:pt idx="2">
                  <c:v>Sveikatos priežiūros paslaugų organizavimas </c:v>
                </c:pt>
                <c:pt idx="3">
                  <c:v>Bendravimas</c:v>
                </c:pt>
                <c:pt idx="4">
                  <c:v>Maitinimo organizavimas </c:v>
                </c:pt>
                <c:pt idx="5">
                  <c:v>Kasdienio gyvenimo įgūdžių ugdymas ir palaikymas</c:v>
                </c:pt>
                <c:pt idx="6">
                  <c:v>Asmens higienos ir priežiūros paslaugų organizavimas </c:v>
                </c:pt>
                <c:pt idx="7">
                  <c:v>Pagalba rengiantis, maitinantis, prausiantis </c:v>
                </c:pt>
                <c:pt idx="8">
                  <c:v>Kitos paslaugos, reikalingos pagal savarankiškumo lygį</c:v>
                </c:pt>
              </c:strCache>
            </c:strRef>
          </c:cat>
          <c:val>
            <c:numRef>
              <c:f>Sheet1!$D$2:$D$10</c:f>
              <c:numCache>
                <c:formatCode>0.00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Sunku pasakyti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3383839638341737E-2"/>
                  <c:y val="4.16523319200485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919380345595603E-2"/>
                      <c:h val="5.684797092671108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7.297664290386338E-3"/>
                  <c:y val="1.87813446396123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25479188918409E-2"/>
                      <c:h val="5.258808802745810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269496675691556E-2"/>
                  <c:y val="6.460730869803625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294286163756347E-3"/>
                  <c:y val="8.1072481324449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1053511844142515E-3"/>
                  <c:y val="1.21109630526953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493471439098503E-2"/>
                  <c:y val="-4.00323036543509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820668693009112E-2"/>
                      <c:h val="6.000015763795291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Informavimas, konsultavimas</c:v>
                </c:pt>
                <c:pt idx="1">
                  <c:v>Tarpininkavimas, atstovavimas</c:v>
                </c:pt>
                <c:pt idx="2">
                  <c:v>Sveikatos priežiūros paslaugų organizavimas </c:v>
                </c:pt>
                <c:pt idx="3">
                  <c:v>Bendravimas</c:v>
                </c:pt>
                <c:pt idx="4">
                  <c:v>Maitinimo organizavimas </c:v>
                </c:pt>
                <c:pt idx="5">
                  <c:v>Kasdienio gyvenimo įgūdžių ugdymas ir palaikymas</c:v>
                </c:pt>
                <c:pt idx="6">
                  <c:v>Asmens higienos ir priežiūros paslaugų organizavimas </c:v>
                </c:pt>
                <c:pt idx="7">
                  <c:v>Pagalba rengiantis, maitinantis, prausiantis </c:v>
                </c:pt>
                <c:pt idx="8">
                  <c:v>Kitos paslaugos, reikalingos pagal savarankiškumo lygį</c:v>
                </c:pt>
              </c:strCache>
            </c:strRef>
          </c:cat>
          <c:val>
            <c:numRef>
              <c:f>Sheet1!$E$2:$E$10</c:f>
              <c:numCache>
                <c:formatCode>0.00</c:formatCode>
                <c:ptCount val="9"/>
                <c:pt idx="0">
                  <c:v>2.1739130434782608</c:v>
                </c:pt>
                <c:pt idx="1">
                  <c:v>8.695652173913043</c:v>
                </c:pt>
                <c:pt idx="2">
                  <c:v>13.043478260869565</c:v>
                </c:pt>
                <c:pt idx="3">
                  <c:v>0</c:v>
                </c:pt>
                <c:pt idx="4">
                  <c:v>4.3478260869565215</c:v>
                </c:pt>
                <c:pt idx="5">
                  <c:v>2.1800000000000002</c:v>
                </c:pt>
                <c:pt idx="6">
                  <c:v>0</c:v>
                </c:pt>
                <c:pt idx="7">
                  <c:v>0</c:v>
                </c:pt>
                <c:pt idx="8">
                  <c:v>6.5217391304347823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Neatsakė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5465941363007857E-2"/>
                  <c:y val="-8.0067837674136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25479188918409E-2"/>
                      <c:h val="5.716260852008883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2255810295006499E-2"/>
                  <c:y val="-4.05960024227740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26849037487338E-3"/>
                  <c:y val="-8.00800800800800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789719897000258E-3"/>
                  <c:y val="2.15013123359580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421661409043111E-2"/>
                      <c:h val="6.3589743589743591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0263424518743669E-3"/>
                  <c:y val="-8.00800800800808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43641587388335E-2"/>
                  <c:y val="-3.90292751867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18931087309923E-2"/>
                      <c:h val="5.3433624311338079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8.1053698074975422E-3"/>
                  <c:y val="-4.00400400400402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Informavimas, konsultavimas</c:v>
                </c:pt>
                <c:pt idx="1">
                  <c:v>Tarpininkavimas, atstovavimas</c:v>
                </c:pt>
                <c:pt idx="2">
                  <c:v>Sveikatos priežiūros paslaugų organizavimas </c:v>
                </c:pt>
                <c:pt idx="3">
                  <c:v>Bendravimas</c:v>
                </c:pt>
                <c:pt idx="4">
                  <c:v>Maitinimo organizavimas </c:v>
                </c:pt>
                <c:pt idx="5">
                  <c:v>Kasdienio gyvenimo įgūdžių ugdymas ir palaikymas</c:v>
                </c:pt>
                <c:pt idx="6">
                  <c:v>Asmens higienos ir priežiūros paslaugų organizavimas </c:v>
                </c:pt>
                <c:pt idx="7">
                  <c:v>Pagalba rengiantis, maitinantis, prausiantis </c:v>
                </c:pt>
                <c:pt idx="8">
                  <c:v>Kitos paslaugos, reikalingos pagal savarankiškumo lygį</c:v>
                </c:pt>
              </c:strCache>
            </c:strRef>
          </c:cat>
          <c:val>
            <c:numRef>
              <c:f>Sheet1!$F$2:$F$10</c:f>
              <c:numCache>
                <c:formatCode>0.00</c:formatCode>
                <c:ptCount val="9"/>
                <c:pt idx="0">
                  <c:v>2.1739130434782608</c:v>
                </c:pt>
                <c:pt idx="1">
                  <c:v>6.5217391304347823</c:v>
                </c:pt>
                <c:pt idx="2">
                  <c:v>8.695652173913043</c:v>
                </c:pt>
                <c:pt idx="3">
                  <c:v>2.1739130434782608</c:v>
                </c:pt>
                <c:pt idx="4">
                  <c:v>4.3478260869565215</c:v>
                </c:pt>
                <c:pt idx="5">
                  <c:v>2.1739130434782608</c:v>
                </c:pt>
                <c:pt idx="6">
                  <c:v>2.1739130434782608</c:v>
                </c:pt>
                <c:pt idx="7">
                  <c:v>2.1739130434782608</c:v>
                </c:pt>
                <c:pt idx="8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14804168"/>
        <c:axId val="314807304"/>
      </c:barChart>
      <c:catAx>
        <c:axId val="314804168"/>
        <c:scaling>
          <c:orientation val="maxMin"/>
        </c:scaling>
        <c:delete val="0"/>
        <c:axPos val="l"/>
        <c:numFmt formatCode="General" sourceLinked="0"/>
        <c:majorTickMark val="cross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just">
              <a:defRPr sz="1000" b="0" i="0" u="none" strike="noStrike" kern="1200" baseline="0">
                <a:ln>
                  <a:noFill/>
                </a:ln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14807304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314807304"/>
        <c:scaling>
          <c:orientation val="minMax"/>
        </c:scaling>
        <c:delete val="1"/>
        <c:axPos val="t"/>
        <c:majorGridlines>
          <c:spPr>
            <a:ln w="9525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miter lim="800000"/>
            </a:ln>
            <a:effectLst>
              <a:glow rad="127000">
                <a:schemeClr val="bg1"/>
              </a:glow>
              <a:outerShdw blurRad="50800" dist="50800" dir="5400000" algn="ctr" rotWithShape="0">
                <a:schemeClr val="bg1"/>
              </a:outerShdw>
            </a:effectLst>
          </c:spPr>
        </c:majorGridlines>
        <c:numFmt formatCode="0.00" sourceLinked="1"/>
        <c:majorTickMark val="none"/>
        <c:minorTickMark val="none"/>
        <c:tickLblPos val="nextTo"/>
        <c:crossAx val="314804168"/>
        <c:crossesAt val="9"/>
        <c:crossBetween val="between"/>
      </c:valAx>
      <c:spPr>
        <a:solidFill>
          <a:schemeClr val="accent1">
            <a:lumMod val="20000"/>
            <a:lumOff val="80000"/>
            <a:alpha val="30000"/>
          </a:schemeClr>
        </a:solidFill>
        <a:ln w="38100" cap="flat">
          <a:solidFill>
            <a:schemeClr val="tx1">
              <a:alpha val="0"/>
            </a:schemeClr>
          </a:solidFill>
          <a:round/>
        </a:ln>
        <a:effectLst/>
      </c:spPr>
    </c:plotArea>
    <c:legend>
      <c:legendPos val="b"/>
      <c:layout>
        <c:manualLayout>
          <c:xMode val="edge"/>
          <c:yMode val="edge"/>
          <c:x val="5.8105290030235575E-2"/>
          <c:y val="0.92769525430942756"/>
          <c:w val="0.9"/>
          <c:h val="7.23047456905724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ln>
                <a:noFill/>
              </a:ln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>
      <a:glow rad="1206500">
        <a:schemeClr val="accent1">
          <a:alpha val="40000"/>
        </a:schemeClr>
      </a:glow>
      <a:outerShdw blurRad="228600" dist="50800" dir="660000" sx="1000" sy="1000" algn="ctr" rotWithShape="0">
        <a:srgbClr val="000000">
          <a:alpha val="0"/>
        </a:srgbClr>
      </a:outerShdw>
    </a:effectLst>
  </c:spPr>
  <c:txPr>
    <a:bodyPr rot="0" vert="horz" anchor="ctr" anchorCtr="0"/>
    <a:lstStyle/>
    <a:p>
      <a:pPr>
        <a:defRPr sz="1000">
          <a:ln>
            <a:noFill/>
          </a:ln>
          <a:solidFill>
            <a:schemeClr val="dk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016276533827495"/>
          <c:y val="4.4044174989308446E-2"/>
          <c:w val="0.46248804179851349"/>
          <c:h val="0.861984460811026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50800" dist="50800" dir="5400000" algn="ctr" rotWithShape="0">
                <a:schemeClr val="bg1"/>
              </a:outerShdw>
            </a:effectLst>
          </c:spPr>
          <c:invertIfNegative val="0"/>
          <c:dLbls>
            <c:dLbl>
              <c:idx val="0"/>
              <c:layout>
                <c:manualLayout>
                  <c:x val="-8.4961767204757861E-3"/>
                  <c:y val="-4.2595154838871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8088360237893E-3"/>
                  <c:y val="3.354213311195525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9617672047578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72132540356995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3.3542133119764892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Ar pasitikite paslaugas teikiančiais darbuotojais?</c:v>
                </c:pt>
                <c:pt idx="1">
                  <c:v>Ar teikiant paslaugas atsižvelgiama į Jūsų prašymus/ siūlymus?</c:v>
                </c:pt>
                <c:pt idx="2">
                  <c:v>Ar darbuotojas, teikdamas paslaugas, elgiasi mandagiai ir pagarbiai?</c:v>
                </c:pt>
                <c:pt idx="3">
                  <c:v>Ar gaunate tikslią, savalaikę informaciją apie teikiamas paslaugas?</c:v>
                </c:pt>
                <c:pt idx="4">
                  <c:v>Ar darbuotojas skiria pakankamai laiko paslaugai suteikti?</c:v>
                </c:pt>
                <c:pt idx="5">
                  <c:v>Ar paslaugos teikiamos sutartu laiku?</c:v>
                </c:pt>
                <c:pt idx="6">
                  <c:v>Ar atsiradus nenumatytoms aplinkybėms, iškilus problemoms darbuotojas padeda jas spręsti?</c:v>
                </c:pt>
              </c:strCache>
            </c:strRef>
          </c:cat>
          <c:val>
            <c:numRef>
              <c:f>Sheet1!$B$2:$B$8</c:f>
              <c:numCache>
                <c:formatCode>0.00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95.652173913043484</c:v>
                </c:pt>
                <c:pt idx="4">
                  <c:v>100</c:v>
                </c:pt>
                <c:pt idx="5">
                  <c:v>97.826086956521735</c:v>
                </c:pt>
                <c:pt idx="6">
                  <c:v>95.66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Sheet1!$A$2:$A$8</c:f>
              <c:strCache>
                <c:ptCount val="7"/>
                <c:pt idx="0">
                  <c:v>Ar pasitikite paslaugas teikiančiais darbuotojais?</c:v>
                </c:pt>
                <c:pt idx="1">
                  <c:v>Ar teikiant paslaugas atsižvelgiama į Jūsų prašymus/ siūlymus?</c:v>
                </c:pt>
                <c:pt idx="2">
                  <c:v>Ar darbuotojas, teikdamas paslaugas, elgiasi mandagiai ir pagarbiai?</c:v>
                </c:pt>
                <c:pt idx="3">
                  <c:v>Ar gaunate tikslią, savalaikę informaciją apie teikiamas paslaugas?</c:v>
                </c:pt>
                <c:pt idx="4">
                  <c:v>Ar darbuotojas skiria pakankamai laiko paslaugai suteikti?</c:v>
                </c:pt>
                <c:pt idx="5">
                  <c:v>Ar paslaugos teikiamos sutartu laiku?</c:v>
                </c:pt>
                <c:pt idx="6">
                  <c:v>Ar atsiradus nenumatytoms aplinkybėms, iškilus problemoms darbuotojas padeda jas spręsti?</c:v>
                </c:pt>
              </c:strCache>
            </c:strRef>
          </c:cat>
          <c:val>
            <c:numRef>
              <c:f>Sheet1!$C$2:$C$8</c:f>
              <c:numCache>
                <c:formatCode>0.00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Sunku pasakyti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8.51970181043663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Ar pasitikite paslaugas teikiančiais darbuotojais?</c:v>
                </c:pt>
                <c:pt idx="1">
                  <c:v>Ar teikiant paslaugas atsižvelgiama į Jūsų prašymus/ siūlymus?</c:v>
                </c:pt>
                <c:pt idx="2">
                  <c:v>Ar darbuotojas, teikdamas paslaugas, elgiasi mandagiai ir pagarbiai?</c:v>
                </c:pt>
                <c:pt idx="3">
                  <c:v>Ar gaunate tikslią, savalaikę informaciją apie teikiamas paslaugas?</c:v>
                </c:pt>
                <c:pt idx="4">
                  <c:v>Ar darbuotojas skiria pakankamai laiko paslaugai suteikti?</c:v>
                </c:pt>
                <c:pt idx="5">
                  <c:v>Ar paslaugos teikiamos sutartu laiku?</c:v>
                </c:pt>
                <c:pt idx="6">
                  <c:v>Ar atsiradus nenumatytoms aplinkybėms, iškilus problemoms darbuotojas padeda jas spręsti?</c:v>
                </c:pt>
              </c:strCache>
            </c:strRef>
          </c:cat>
          <c:val>
            <c:numRef>
              <c:f>Sheet1!$D$2:$D$8</c:f>
              <c:numCache>
                <c:formatCode>0.00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4.3478260869565215</c:v>
                </c:pt>
                <c:pt idx="4">
                  <c:v>0</c:v>
                </c:pt>
                <c:pt idx="5">
                  <c:v>0</c:v>
                </c:pt>
                <c:pt idx="6">
                  <c:v>2.1739130434782608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Neatsakė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4.25985090521831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Ar pasitikite paslaugas teikiančiais darbuotojais?</c:v>
                </c:pt>
                <c:pt idx="1">
                  <c:v>Ar teikiant paslaugas atsižvelgiama į Jūsų prašymus/ siūlymus?</c:v>
                </c:pt>
                <c:pt idx="2">
                  <c:v>Ar darbuotojas, teikdamas paslaugas, elgiasi mandagiai ir pagarbiai?</c:v>
                </c:pt>
                <c:pt idx="3">
                  <c:v>Ar gaunate tikslią, savalaikę informaciją apie teikiamas paslaugas?</c:v>
                </c:pt>
                <c:pt idx="4">
                  <c:v>Ar darbuotojas skiria pakankamai laiko paslaugai suteikti?</c:v>
                </c:pt>
                <c:pt idx="5">
                  <c:v>Ar paslaugos teikiamos sutartu laiku?</c:v>
                </c:pt>
                <c:pt idx="6">
                  <c:v>Ar atsiradus nenumatytoms aplinkybėms, iškilus problemoms darbuotojas padeda jas spręsti?</c:v>
                </c:pt>
              </c:strCache>
            </c:strRef>
          </c:cat>
          <c:val>
            <c:numRef>
              <c:f>Sheet1!$E$2:$E$8</c:f>
              <c:numCache>
                <c:formatCode>0.00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2.1739130434782608</c:v>
                </c:pt>
                <c:pt idx="6">
                  <c:v>2.1739130434782608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14805736"/>
        <c:axId val="314808872"/>
      </c:barChart>
      <c:catAx>
        <c:axId val="314805736"/>
        <c:scaling>
          <c:orientation val="maxMin"/>
        </c:scaling>
        <c:delete val="0"/>
        <c:axPos val="l"/>
        <c:numFmt formatCode="General" sourceLinked="0"/>
        <c:majorTickMark val="cross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 algn="just">
              <a:defRPr sz="900" b="0" i="0" u="none" strike="noStrike" kern="1200" baseline="0">
                <a:ln>
                  <a:noFill/>
                </a:ln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14808872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314808872"/>
        <c:scaling>
          <c:orientation val="minMax"/>
        </c:scaling>
        <c:delete val="1"/>
        <c:axPos val="t"/>
        <c:majorGridlines>
          <c:spPr>
            <a:ln w="9525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miter lim="800000"/>
            </a:ln>
            <a:effectLst>
              <a:glow rad="127000">
                <a:schemeClr val="bg1"/>
              </a:glow>
              <a:outerShdw blurRad="50800" dist="50800" dir="5400000" algn="ctr" rotWithShape="0">
                <a:schemeClr val="bg1"/>
              </a:outerShdw>
            </a:effectLst>
          </c:spPr>
        </c:majorGridlines>
        <c:numFmt formatCode="0.00" sourceLinked="1"/>
        <c:majorTickMark val="none"/>
        <c:minorTickMark val="none"/>
        <c:tickLblPos val="nextTo"/>
        <c:crossAx val="314805736"/>
        <c:crossesAt val="9"/>
        <c:crossBetween val="between"/>
      </c:valAx>
      <c:spPr>
        <a:solidFill>
          <a:schemeClr val="accent1">
            <a:lumMod val="20000"/>
            <a:lumOff val="80000"/>
            <a:alpha val="30000"/>
          </a:schemeClr>
        </a:solidFill>
        <a:ln w="38100" cap="flat">
          <a:solidFill>
            <a:schemeClr val="tx1">
              <a:alpha val="0"/>
            </a:schemeClr>
          </a:solidFill>
          <a:round/>
        </a:ln>
        <a:effectLst/>
      </c:spPr>
    </c:plotArea>
    <c:legend>
      <c:legendPos val="b"/>
      <c:layout>
        <c:manualLayout>
          <c:xMode val="edge"/>
          <c:yMode val="edge"/>
          <c:x val="5.8105319141819253E-2"/>
          <c:y val="0.92792648743192219"/>
          <c:w val="0.9"/>
          <c:h val="6.37850620110186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ln>
                <a:noFill/>
              </a:ln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>
      <a:glow rad="1206500">
        <a:schemeClr val="accent1">
          <a:alpha val="40000"/>
        </a:schemeClr>
      </a:glow>
      <a:outerShdw blurRad="228600" dist="50800" dir="660000" sx="1000" sy="1000" algn="ctr" rotWithShape="0">
        <a:srgbClr val="000000">
          <a:alpha val="0"/>
        </a:srgbClr>
      </a:outerShdw>
    </a:effectLst>
  </c:spPr>
  <c:txPr>
    <a:bodyPr rot="0" vert="horz" anchor="ctr" anchorCtr="0"/>
    <a:lstStyle/>
    <a:p>
      <a:pPr>
        <a:defRPr>
          <a:ln>
            <a:noFill/>
          </a:ln>
          <a:solidFill>
            <a:schemeClr val="dk1"/>
          </a:solidFill>
        </a:defRPr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kokybė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8.3406118737775578E-2"/>
                  <c:y val="-0.1550387596899224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F8F69B3-A518-4605-B4E9-F19991B9470D}" type="CATEGORYNAME">
                      <a:rPr lang="lt-LT" sz="1100" b="0"/>
                      <a:pPr>
                        <a:defRPr sz="1100"/>
                      </a:pPr>
                      <a:t>[CATEGORY NAME]</a:t>
                    </a:fld>
                    <a:r>
                      <a:rPr lang="lt-LT" sz="1100" b="0" baseline="0"/>
                      <a:t>
</a:t>
                    </a:r>
                    <a:fld id="{4E9077DD-91A6-4C4F-8CB6-42E42DBA5A6F}" type="PERCENTAGE">
                      <a:rPr lang="lt-LT" sz="1400" b="1" baseline="0"/>
                      <a:pPr>
                        <a:defRPr sz="1100"/>
                      </a:pPr>
                      <a:t>[PERCENTAGE]</a:t>
                    </a:fld>
                    <a:endParaRPr lang="lt-LT" sz="1100" b="0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73998"/>
                        <a:gd name="adj2" fmla="val -66473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859902983331274E-2"/>
                  <c:y val="5.167958656330749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FD7A168-B975-4B85-A3DA-9BFF792A3722}" type="CATEGORYNAME">
                      <a:rPr lang="lt-LT" sz="1100" b="0"/>
                      <a:pPr>
                        <a:defRPr sz="1100"/>
                      </a:pPr>
                      <a:t>[CATEGORY NAME]</a:t>
                    </a:fld>
                    <a:r>
                      <a:rPr lang="lt-LT" sz="1100" b="0" baseline="0"/>
                      <a:t>
</a:t>
                    </a:r>
                    <a:fld id="{883689AF-CD42-447E-A63C-052D99133F72}" type="PERCENTAGE">
                      <a:rPr lang="lt-LT" sz="1400" b="1" baseline="0"/>
                      <a:pPr>
                        <a:defRPr sz="1100"/>
                      </a:pPr>
                      <a:t>[PERCENTAGE]</a:t>
                    </a:fld>
                    <a:endParaRPr lang="lt-LT" sz="1100" b="0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11311"/>
                        <a:gd name="adj2" fmla="val 59629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1175101803374055"/>
                  <c:y val="0.4444444444444444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3F9CD04-DF5A-4C54-9E30-3AE3E83CE016}" type="CATEGORYNAME">
                      <a:rPr lang="lt-LT" b="0"/>
                      <a:pPr>
                        <a:defRPr sz="1100"/>
                      </a:pPr>
                      <a:t>[CATEGORY NAME]</a:t>
                    </a:fld>
                    <a:r>
                      <a:rPr lang="lt-LT" b="1" baseline="0"/>
                      <a:t>
</a:t>
                    </a:r>
                    <a:fld id="{225A9447-EE7E-4BF9-95BA-EF76C879840F}" type="PERCENTAGE">
                      <a:rPr lang="lt-LT" sz="1400" b="1" baseline="0"/>
                      <a:pPr>
                        <a:defRPr sz="1100"/>
                      </a:pPr>
                      <a:t>[PERCENTAGE]</a:t>
                    </a:fld>
                    <a:endParaRPr lang="lt-LT" b="1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5631"/>
                        <a:gd name="adj2" fmla="val 42354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0531567061970649"/>
                  <c:y val="4.365093898146452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FB3D4A4-FFEB-4EF5-871D-214AB8203493}" type="CATEGORYNAME">
                      <a:rPr lang="lt-LT" sz="1100" b="0"/>
                      <a:pPr>
                        <a:defRPr sz="1100"/>
                      </a:pPr>
                      <a:t>[CATEGORY NAME]</a:t>
                    </a:fld>
                    <a:r>
                      <a:rPr lang="lt-LT" sz="1100" b="0" baseline="0"/>
                      <a:t>
</a:t>
                    </a:r>
                    <a:fld id="{81817967-5E93-4D45-BAD0-B5D1A4AE5738}" type="PERCENTAGE">
                      <a:rPr lang="lt-LT" sz="1400" b="1" baseline="0"/>
                      <a:pPr>
                        <a:defRPr sz="1100"/>
                      </a:pPr>
                      <a:t>[PERCENTAGE]</a:t>
                    </a:fld>
                    <a:endParaRPr lang="lt-LT" sz="1100" b="0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78233"/>
                        <a:gd name="adj2" fmla="val 32302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Taip, labai pagerėjo</c:v>
                </c:pt>
                <c:pt idx="1">
                  <c:v>Taip, iš dalies pagerėjo</c:v>
                </c:pt>
                <c:pt idx="2">
                  <c:v>Ne, nepagerėjo</c:v>
                </c:pt>
                <c:pt idx="3">
                  <c:v>Neatsakė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82.608695652173907</c:v>
                </c:pt>
                <c:pt idx="1">
                  <c:v>15.217391304347826</c:v>
                </c:pt>
                <c:pt idx="2">
                  <c:v>0</c:v>
                </c:pt>
                <c:pt idx="3">
                  <c:v>2.1739130434782608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8DDB-D5C2-468A-A463-7F72F03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3226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SPC-4</dc:creator>
  <cp:lastModifiedBy>PC</cp:lastModifiedBy>
  <cp:revision>38</cp:revision>
  <cp:lastPrinted>2020-02-24T09:35:00Z</cp:lastPrinted>
  <dcterms:created xsi:type="dcterms:W3CDTF">2022-01-28T06:36:00Z</dcterms:created>
  <dcterms:modified xsi:type="dcterms:W3CDTF">2022-02-08T11:08:00Z</dcterms:modified>
</cp:coreProperties>
</file>